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10F4EA">
      <w:pPr>
        <w:rPr>
          <w:b/>
          <w:bCs/>
          <w:szCs w:val="24"/>
        </w:rPr>
      </w:pPr>
      <w:r>
        <w:rPr>
          <w:b/>
          <w:bCs/>
        </w:rPr>
        <w:t>Supplementa</w:t>
      </w:r>
      <w:r>
        <w:rPr>
          <w:rFonts w:hint="eastAsia"/>
          <w:b/>
          <w:bCs/>
          <w:lang w:val="en-US" w:eastAsia="zh-CN"/>
        </w:rPr>
        <w:t>ry</w:t>
      </w:r>
      <w:r>
        <w:rPr>
          <w:b/>
          <w:bCs/>
          <w:szCs w:val="24"/>
        </w:rPr>
        <w:t xml:space="preserve"> Table 1.</w:t>
      </w:r>
      <w:r>
        <w:rPr>
          <w:rFonts w:hint="eastAsia"/>
          <w:b/>
          <w:bCs/>
          <w:szCs w:val="24"/>
          <w:lang w:val="en-US" w:eastAsia="zh-CN"/>
        </w:rPr>
        <w:t xml:space="preserve"> </w:t>
      </w:r>
      <w:r>
        <w:rPr>
          <w:b/>
          <w:bCs/>
        </w:rPr>
        <w:t>Systematic literature review search terms and strategy.</w:t>
      </w:r>
    </w:p>
    <w:tbl>
      <w:tblPr>
        <w:tblStyle w:val="1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E840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5000" w:type="pct"/>
            <w:shd w:val="clear" w:color="auto" w:fill="auto"/>
            <w:noWrap/>
            <w:vAlign w:val="center"/>
          </w:tcPr>
          <w:p w14:paraId="75905E71">
            <w:pPr>
              <w:widowControl/>
              <w:textAlignment w:val="center"/>
              <w:rPr>
                <w:rFonts w:eastAsia="宋体"/>
                <w:b/>
                <w:bCs/>
                <w:szCs w:val="24"/>
              </w:rPr>
            </w:pPr>
            <w:r>
              <w:rPr>
                <w:rFonts w:eastAsia="宋体"/>
                <w:b/>
                <w:szCs w:val="24"/>
              </w:rPr>
              <w:t>Search terms for PubMed</w:t>
            </w:r>
          </w:p>
        </w:tc>
      </w:tr>
      <w:tr w14:paraId="5B88B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5000" w:type="pct"/>
            <w:shd w:val="clear" w:color="auto" w:fill="auto"/>
            <w:noWrap/>
          </w:tcPr>
          <w:p w14:paraId="6902B4E2">
            <w:r>
              <w:rPr>
                <w:rFonts w:eastAsia="宋体"/>
                <w:kern w:val="0"/>
                <w:szCs w:val="24"/>
              </w:rPr>
              <w:t>#1</w:t>
            </w:r>
            <w:r>
              <w:t xml:space="preserve">((((((((Transanal opening of intersphincteric space[Title/Abstract]) OR (TROPIS[Title/Abstract])) OR (Transanal Surgery[Title/Abstract])) OR (Sphincter-Sparing Surgery[Title/Abstract])) OR (Minimally Invasive Surgical Procedures[Title/Abstract])) OR (Colorectal Surgery[Title/Abstract])) OR (Anus Surgery[Title/Abstract])) OR (Transanal Approach[Title/Abstract])) </w:t>
            </w:r>
          </w:p>
          <w:p w14:paraId="27E22ADA">
            <w:r>
              <w:rPr>
                <w:rFonts w:eastAsia="宋体"/>
                <w:kern w:val="0"/>
                <w:szCs w:val="24"/>
              </w:rPr>
              <w:t>#2</w:t>
            </w:r>
            <w:r>
              <w:t xml:space="preserve"> (((((((((((((Fistula, Rectal[Title/Abstract]) OR (Anal Fistula[Title/Abstract])) OR (Intersphincteric Fistula[Title/Abstract])) OR (Anorectal Diseases[Title/Abstract])) OR (Rectal Fistula[Title/Abstract])) OR (Perianal Fistula[Title/Abstract])) OR (Fistula Tract[Title/Abstract])) OR (Low simple anal fistula[Title/Abstract])) OR (Low complex anal fistula[Title/Abstract])) OR (high simple anal fistula[Title/Abstract])) OR (High complex anal fistula[Title/Abstract])) OR (high anal fistula[Title/Abstract])) OR (low anal fistula[Title/Abstract]))</w:t>
            </w:r>
          </w:p>
          <w:p w14:paraId="2A92C47D">
            <w:r>
              <w:rPr>
                <w:rFonts w:eastAsia="宋体"/>
                <w:kern w:val="0"/>
                <w:szCs w:val="24"/>
              </w:rPr>
              <w:t>#1 AND #2</w:t>
            </w:r>
          </w:p>
        </w:tc>
      </w:tr>
      <w:tr w14:paraId="5ED27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5000" w:type="pct"/>
            <w:shd w:val="clear" w:color="auto" w:fill="auto"/>
            <w:noWrap/>
            <w:vAlign w:val="center"/>
          </w:tcPr>
          <w:p w14:paraId="276167A9">
            <w:pPr>
              <w:widowControl/>
              <w:textAlignment w:val="center"/>
              <w:rPr>
                <w:rFonts w:eastAsia="宋体"/>
                <w:kern w:val="0"/>
                <w:szCs w:val="24"/>
              </w:rPr>
            </w:pPr>
            <w:r>
              <w:rPr>
                <w:rFonts w:eastAsia="宋体"/>
                <w:b/>
                <w:szCs w:val="24"/>
              </w:rPr>
              <w:t>Search terms for Web of Science</w:t>
            </w:r>
          </w:p>
        </w:tc>
      </w:tr>
      <w:tr w14:paraId="20D15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5000" w:type="pct"/>
            <w:shd w:val="clear" w:color="auto" w:fill="auto"/>
            <w:noWrap/>
            <w:vAlign w:val="center"/>
          </w:tcPr>
          <w:p w14:paraId="4C80D180">
            <w:pPr>
              <w:widowControl/>
              <w:textAlignment w:val="center"/>
              <w:rPr>
                <w:rFonts w:eastAsia="宋体"/>
                <w:kern w:val="0"/>
                <w:szCs w:val="24"/>
              </w:rPr>
            </w:pPr>
            <w:r>
              <w:rPr>
                <w:rFonts w:eastAsia="宋体"/>
                <w:kern w:val="0"/>
                <w:szCs w:val="24"/>
              </w:rPr>
              <w:t>#1 ((((((TS=(Transanal opening of intersphincteric space )) OR TS=(TROPIS)) OR TS=(</w:t>
            </w:r>
            <w:r>
              <w:t xml:space="preserve"> Transanal Surgery</w:t>
            </w:r>
            <w:r>
              <w:rPr>
                <w:rFonts w:eastAsia="宋体"/>
                <w:kern w:val="0"/>
                <w:szCs w:val="24"/>
              </w:rPr>
              <w:t xml:space="preserve">)) OR TS=(Sphincter-Sparing Surgery)) OR TS=(Minimally Invasive Surgical Procedures)) OR TS=(Colorectal Surgery)) OR TS=(Anus Surgery)) OR TS=(Transanal Approach) </w:t>
            </w:r>
          </w:p>
          <w:p w14:paraId="04F1F186">
            <w:pPr>
              <w:widowControl/>
              <w:textAlignment w:val="center"/>
              <w:rPr>
                <w:rFonts w:eastAsia="宋体"/>
                <w:kern w:val="0"/>
                <w:szCs w:val="24"/>
              </w:rPr>
            </w:pPr>
            <w:r>
              <w:rPr>
                <w:rFonts w:eastAsia="宋体"/>
                <w:kern w:val="0"/>
                <w:szCs w:val="24"/>
              </w:rPr>
              <w:t xml:space="preserve">#2 ((((((((((((TS=(anal fistula)) OR TS=(Fistula, Rectal)) OR TS=(Intersphincteric Fistula)) OR TS=(Anorectal Diseases)) OR TS=(Rectal Fistula)) OR TS=(Perianal Fistula)) OR TS=(Fistula Tract)) OR TS=(Low simple anal fistula)) OR TS=(Low complex anal fistula)) OR TS=(High complex anal fistula)) OR TS=(high anal fistula)) OR TS=(low anal fistula)) </w:t>
            </w:r>
          </w:p>
          <w:p w14:paraId="50CB42DF">
            <w:pPr>
              <w:widowControl/>
              <w:textAlignment w:val="center"/>
              <w:rPr>
                <w:rFonts w:eastAsia="宋体"/>
                <w:szCs w:val="24"/>
              </w:rPr>
            </w:pPr>
            <w:r>
              <w:rPr>
                <w:rFonts w:eastAsia="宋体"/>
                <w:kern w:val="0"/>
                <w:szCs w:val="24"/>
              </w:rPr>
              <w:t>#1 AND #2</w:t>
            </w:r>
          </w:p>
        </w:tc>
      </w:tr>
      <w:tr w14:paraId="2FE8B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000" w:type="pct"/>
            <w:shd w:val="clear" w:color="auto" w:fill="auto"/>
            <w:noWrap/>
            <w:vAlign w:val="center"/>
          </w:tcPr>
          <w:p w14:paraId="191403F6">
            <w:pPr>
              <w:widowControl/>
              <w:textAlignment w:val="center"/>
              <w:rPr>
                <w:rFonts w:eastAsia="宋体"/>
                <w:kern w:val="0"/>
                <w:szCs w:val="24"/>
              </w:rPr>
            </w:pPr>
            <w:r>
              <w:rPr>
                <w:rFonts w:eastAsia="宋体"/>
                <w:b/>
                <w:szCs w:val="24"/>
              </w:rPr>
              <w:t>Search terms for Embase</w:t>
            </w:r>
          </w:p>
        </w:tc>
      </w:tr>
      <w:tr w14:paraId="2AF4B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5000" w:type="pct"/>
            <w:shd w:val="clear" w:color="auto" w:fill="auto"/>
            <w:noWrap/>
            <w:vAlign w:val="center"/>
          </w:tcPr>
          <w:p w14:paraId="0D4AA653">
            <w:pPr>
              <w:widowControl/>
              <w:textAlignment w:val="center"/>
              <w:rPr>
                <w:rFonts w:eastAsia="宋体"/>
                <w:kern w:val="0"/>
                <w:szCs w:val="24"/>
              </w:rPr>
            </w:pPr>
            <w:r>
              <w:rPr>
                <w:rFonts w:eastAsia="宋体"/>
                <w:kern w:val="0"/>
                <w:szCs w:val="24"/>
              </w:rPr>
              <w:t xml:space="preserve">#1 'transanal opening of intersphincteric space':ti,ab,kw OR 'tropis':ti,ab,kw OR 'transanal surgery':ti,ab,kw OR 'sphincter-sparing surgery':ti,ab,kw OR 'minimally invasive surgical procedures':ti,ab,kw OR 'colorectal surgery':ti,ab,kw OR 'anus surgery':ti,ab,kw OR 'transanal approach':ti,ab,kw </w:t>
            </w:r>
          </w:p>
          <w:p w14:paraId="03DB65DE">
            <w:pPr>
              <w:widowControl/>
              <w:textAlignment w:val="center"/>
              <w:rPr>
                <w:rFonts w:eastAsia="宋体"/>
                <w:kern w:val="0"/>
                <w:szCs w:val="24"/>
              </w:rPr>
            </w:pPr>
            <w:r>
              <w:rPr>
                <w:rFonts w:eastAsia="宋体"/>
                <w:kern w:val="0"/>
                <w:szCs w:val="24"/>
              </w:rPr>
              <w:t xml:space="preserve">#2 'fistula, rectal':ti,ab,kw OR 'anal fistula':ti,ab,kw OR 'intersphincteric fistula':ti,ab,kw OR 'anorectal diseases':ti,ab,kw OR 'rectal fistula':ti,ab,kw OR 'perianal fistula':ti,ab,kw OR 'fistula tract':ti,ab,kw OR 'low simple anal fistula':ti,ab,kw OR 'low complex anal fistula':ti,ab,kw OR 'high simple anal fistula':ti,ab,kw OR 'high complex anal fistula':ti,ab,kw OR 'high anal fistula':ti,ab,kw OR 'low anal fistula':ti,ab,kw </w:t>
            </w:r>
          </w:p>
          <w:p w14:paraId="12DFB378">
            <w:pPr>
              <w:widowControl/>
              <w:textAlignment w:val="center"/>
              <w:rPr>
                <w:rFonts w:eastAsia="宋体"/>
                <w:szCs w:val="24"/>
              </w:rPr>
            </w:pPr>
            <w:r>
              <w:rPr>
                <w:rFonts w:eastAsia="宋体"/>
                <w:kern w:val="0"/>
                <w:szCs w:val="24"/>
              </w:rPr>
              <w:t>#1 AND #2</w:t>
            </w:r>
          </w:p>
        </w:tc>
      </w:tr>
      <w:tr w14:paraId="1D2FC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5000" w:type="pct"/>
            <w:shd w:val="clear" w:color="auto" w:fill="auto"/>
            <w:noWrap/>
            <w:vAlign w:val="center"/>
          </w:tcPr>
          <w:p w14:paraId="08220BEA">
            <w:pPr>
              <w:widowControl/>
              <w:textAlignment w:val="center"/>
              <w:rPr>
                <w:rFonts w:eastAsia="宋体"/>
                <w:kern w:val="0"/>
                <w:szCs w:val="24"/>
              </w:rPr>
            </w:pPr>
            <w:r>
              <w:rPr>
                <w:rFonts w:eastAsia="宋体"/>
                <w:b/>
                <w:szCs w:val="24"/>
              </w:rPr>
              <w:t>Search terms for Cochrane</w:t>
            </w:r>
          </w:p>
        </w:tc>
      </w:tr>
      <w:tr w14:paraId="11ED24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5000" w:type="pct"/>
            <w:shd w:val="clear" w:color="auto" w:fill="auto"/>
            <w:noWrap/>
            <w:vAlign w:val="center"/>
          </w:tcPr>
          <w:p w14:paraId="4CAD5ABE">
            <w:pPr>
              <w:widowControl/>
              <w:textAlignment w:val="center"/>
              <w:rPr>
                <w:rFonts w:eastAsia="宋体"/>
                <w:kern w:val="0"/>
                <w:szCs w:val="24"/>
              </w:rPr>
            </w:pPr>
            <w:r>
              <w:rPr>
                <w:rFonts w:eastAsia="宋体"/>
                <w:kern w:val="0"/>
                <w:szCs w:val="24"/>
              </w:rPr>
              <w:t>#</w:t>
            </w:r>
            <w:r>
              <w:rPr>
                <w:rFonts w:hint="eastAsia" w:eastAsia="宋体"/>
                <w:kern w:val="0"/>
                <w:szCs w:val="24"/>
              </w:rPr>
              <w:t>1</w:t>
            </w:r>
            <w:r>
              <w:rPr>
                <w:rFonts w:eastAsia="宋体"/>
                <w:kern w:val="0"/>
                <w:szCs w:val="24"/>
              </w:rPr>
              <w:t xml:space="preserve"> (Transanal </w:t>
            </w:r>
            <w:r>
              <w:rPr>
                <w:rFonts w:hint="eastAsia" w:eastAsia="宋体"/>
                <w:kern w:val="0"/>
                <w:szCs w:val="24"/>
              </w:rPr>
              <w:t>O</w:t>
            </w:r>
            <w:r>
              <w:rPr>
                <w:rFonts w:eastAsia="宋体"/>
                <w:kern w:val="0"/>
                <w:szCs w:val="24"/>
              </w:rPr>
              <w:t xml:space="preserve">pening </w:t>
            </w:r>
            <w:r>
              <w:rPr>
                <w:rFonts w:hint="eastAsia" w:eastAsia="宋体"/>
                <w:kern w:val="0"/>
                <w:szCs w:val="24"/>
              </w:rPr>
              <w:t>O</w:t>
            </w:r>
            <w:r>
              <w:rPr>
                <w:rFonts w:eastAsia="宋体"/>
                <w:kern w:val="0"/>
                <w:szCs w:val="24"/>
              </w:rPr>
              <w:t xml:space="preserve">f </w:t>
            </w:r>
            <w:r>
              <w:rPr>
                <w:rFonts w:hint="eastAsia" w:eastAsia="宋体"/>
                <w:kern w:val="0"/>
                <w:szCs w:val="24"/>
              </w:rPr>
              <w:t>I</w:t>
            </w:r>
            <w:r>
              <w:rPr>
                <w:rFonts w:eastAsia="宋体"/>
                <w:kern w:val="0"/>
                <w:szCs w:val="24"/>
              </w:rPr>
              <w:t xml:space="preserve">ntersphincteric </w:t>
            </w:r>
            <w:r>
              <w:rPr>
                <w:rFonts w:hint="eastAsia" w:eastAsia="宋体"/>
                <w:kern w:val="0"/>
                <w:szCs w:val="24"/>
              </w:rPr>
              <w:t>S</w:t>
            </w:r>
            <w:r>
              <w:rPr>
                <w:rFonts w:eastAsia="宋体"/>
                <w:kern w:val="0"/>
                <w:szCs w:val="24"/>
              </w:rPr>
              <w:t xml:space="preserve">pace):ti,ab,kw OR (TROPIS):ti,ab, kw OR (Transanal Surgery):ti,ab,kw OR (Sphincter-Sparing Surgery):ti,ab,kw OR (Minimally Invasive Surgical Procedures):ti,ab,kw OR (Colorectal Surgery):ti,ab,kw OR (Anus Surgery):ti,ab,kw OR (Transanal Approach):ti,ab,kw </w:t>
            </w:r>
          </w:p>
          <w:p w14:paraId="317F18B8">
            <w:pPr>
              <w:widowControl/>
              <w:textAlignment w:val="center"/>
              <w:rPr>
                <w:rFonts w:eastAsia="宋体"/>
                <w:kern w:val="0"/>
                <w:szCs w:val="24"/>
              </w:rPr>
            </w:pPr>
            <w:r>
              <w:rPr>
                <w:rFonts w:eastAsia="宋体"/>
                <w:kern w:val="0"/>
                <w:szCs w:val="24"/>
              </w:rPr>
              <w:t>#</w:t>
            </w:r>
            <w:r>
              <w:rPr>
                <w:rFonts w:hint="eastAsia" w:eastAsia="宋体"/>
                <w:kern w:val="0"/>
                <w:szCs w:val="24"/>
              </w:rPr>
              <w:t xml:space="preserve">2 </w:t>
            </w:r>
            <w:r>
              <w:rPr>
                <w:rFonts w:eastAsia="宋体"/>
                <w:kern w:val="0"/>
                <w:szCs w:val="24"/>
              </w:rPr>
              <w:t xml:space="preserve">kw OR (Fistula, Rectal):ti,ab,kw OR (Anal Fistula):ti,ab,kw OR (Intersphincteric Fistula):ti,ab,kw OR (Anorectal Diseases):ti,ab,kw OR (Rectal Fistula):ti,ab,kw OR (Perianal Fistula):ti,ab,kw OR (Fistula Tract):ti,ab,kw OR (Low </w:t>
            </w:r>
            <w:r>
              <w:rPr>
                <w:rFonts w:hint="eastAsia" w:eastAsia="宋体"/>
                <w:kern w:val="0"/>
                <w:szCs w:val="24"/>
              </w:rPr>
              <w:t>S</w:t>
            </w:r>
            <w:r>
              <w:rPr>
                <w:rFonts w:eastAsia="宋体"/>
                <w:kern w:val="0"/>
                <w:szCs w:val="24"/>
              </w:rPr>
              <w:t xml:space="preserve">imple anal </w:t>
            </w:r>
            <w:r>
              <w:rPr>
                <w:rFonts w:hint="eastAsia" w:eastAsia="宋体"/>
                <w:kern w:val="0"/>
                <w:szCs w:val="24"/>
              </w:rPr>
              <w:t>F</w:t>
            </w:r>
            <w:r>
              <w:rPr>
                <w:rFonts w:eastAsia="宋体"/>
                <w:kern w:val="0"/>
                <w:szCs w:val="24"/>
              </w:rPr>
              <w:t xml:space="preserve">istula):ti,ab,kw OR (Low </w:t>
            </w:r>
            <w:r>
              <w:rPr>
                <w:rFonts w:hint="eastAsia" w:eastAsia="宋体"/>
                <w:kern w:val="0"/>
                <w:szCs w:val="24"/>
              </w:rPr>
              <w:t>C</w:t>
            </w:r>
            <w:r>
              <w:rPr>
                <w:rFonts w:eastAsia="宋体"/>
                <w:kern w:val="0"/>
                <w:szCs w:val="24"/>
              </w:rPr>
              <w:t xml:space="preserve">omplex </w:t>
            </w:r>
            <w:r>
              <w:rPr>
                <w:rFonts w:hint="eastAsia" w:eastAsia="宋体"/>
                <w:kern w:val="0"/>
                <w:szCs w:val="24"/>
              </w:rPr>
              <w:t>A</w:t>
            </w:r>
            <w:r>
              <w:rPr>
                <w:rFonts w:eastAsia="宋体"/>
                <w:kern w:val="0"/>
                <w:szCs w:val="24"/>
              </w:rPr>
              <w:t xml:space="preserve">nal </w:t>
            </w:r>
            <w:r>
              <w:rPr>
                <w:rFonts w:hint="eastAsia" w:eastAsia="宋体"/>
                <w:kern w:val="0"/>
                <w:szCs w:val="24"/>
              </w:rPr>
              <w:t>F</w:t>
            </w:r>
            <w:r>
              <w:rPr>
                <w:rFonts w:eastAsia="宋体"/>
                <w:kern w:val="0"/>
                <w:szCs w:val="24"/>
              </w:rPr>
              <w:t>istula):ti,ab,kw OR (</w:t>
            </w:r>
            <w:r>
              <w:rPr>
                <w:rFonts w:hint="eastAsia" w:eastAsia="宋体"/>
                <w:kern w:val="0"/>
                <w:szCs w:val="24"/>
              </w:rPr>
              <w:t>H</w:t>
            </w:r>
            <w:r>
              <w:rPr>
                <w:rFonts w:eastAsia="宋体"/>
                <w:kern w:val="0"/>
                <w:szCs w:val="24"/>
              </w:rPr>
              <w:t xml:space="preserve">igh </w:t>
            </w:r>
            <w:r>
              <w:rPr>
                <w:rFonts w:hint="eastAsia" w:eastAsia="宋体"/>
                <w:kern w:val="0"/>
                <w:szCs w:val="24"/>
              </w:rPr>
              <w:t>S</w:t>
            </w:r>
            <w:r>
              <w:rPr>
                <w:rFonts w:eastAsia="宋体"/>
                <w:kern w:val="0"/>
                <w:szCs w:val="24"/>
              </w:rPr>
              <w:t xml:space="preserve">imple </w:t>
            </w:r>
            <w:r>
              <w:rPr>
                <w:rFonts w:hint="eastAsia" w:eastAsia="宋体"/>
                <w:kern w:val="0"/>
                <w:szCs w:val="24"/>
              </w:rPr>
              <w:t>A</w:t>
            </w:r>
            <w:r>
              <w:rPr>
                <w:rFonts w:eastAsia="宋体"/>
                <w:kern w:val="0"/>
                <w:szCs w:val="24"/>
              </w:rPr>
              <w:t xml:space="preserve">nal </w:t>
            </w:r>
            <w:r>
              <w:rPr>
                <w:rFonts w:hint="eastAsia" w:eastAsia="宋体"/>
                <w:kern w:val="0"/>
                <w:szCs w:val="24"/>
              </w:rPr>
              <w:t>F</w:t>
            </w:r>
            <w:r>
              <w:rPr>
                <w:rFonts w:eastAsia="宋体"/>
                <w:kern w:val="0"/>
                <w:szCs w:val="24"/>
              </w:rPr>
              <w:t xml:space="preserve">istula):ti,ab,kw OR (High </w:t>
            </w:r>
            <w:r>
              <w:rPr>
                <w:rFonts w:hint="eastAsia" w:eastAsia="宋体"/>
                <w:kern w:val="0"/>
                <w:szCs w:val="24"/>
              </w:rPr>
              <w:t>C</w:t>
            </w:r>
            <w:r>
              <w:rPr>
                <w:rFonts w:eastAsia="宋体"/>
                <w:kern w:val="0"/>
                <w:szCs w:val="24"/>
              </w:rPr>
              <w:t xml:space="preserve">omplex </w:t>
            </w:r>
            <w:r>
              <w:rPr>
                <w:rFonts w:hint="eastAsia" w:eastAsia="宋体"/>
                <w:kern w:val="0"/>
                <w:szCs w:val="24"/>
              </w:rPr>
              <w:t>A</w:t>
            </w:r>
            <w:r>
              <w:rPr>
                <w:rFonts w:eastAsia="宋体"/>
                <w:kern w:val="0"/>
                <w:szCs w:val="24"/>
              </w:rPr>
              <w:t xml:space="preserve">nal </w:t>
            </w:r>
            <w:r>
              <w:rPr>
                <w:rFonts w:hint="eastAsia" w:eastAsia="宋体"/>
                <w:kern w:val="0"/>
                <w:szCs w:val="24"/>
              </w:rPr>
              <w:t>F</w:t>
            </w:r>
            <w:r>
              <w:rPr>
                <w:rFonts w:eastAsia="宋体"/>
                <w:kern w:val="0"/>
                <w:szCs w:val="24"/>
              </w:rPr>
              <w:t>istula):ti,ab,kw OR (</w:t>
            </w:r>
            <w:r>
              <w:rPr>
                <w:rFonts w:hint="eastAsia" w:eastAsia="宋体"/>
                <w:kern w:val="0"/>
                <w:szCs w:val="24"/>
              </w:rPr>
              <w:t>F</w:t>
            </w:r>
            <w:r>
              <w:rPr>
                <w:rFonts w:eastAsia="宋体"/>
                <w:kern w:val="0"/>
                <w:szCs w:val="24"/>
              </w:rPr>
              <w:t xml:space="preserve">igh </w:t>
            </w:r>
            <w:r>
              <w:rPr>
                <w:rFonts w:hint="eastAsia" w:eastAsia="宋体"/>
                <w:kern w:val="0"/>
                <w:szCs w:val="24"/>
              </w:rPr>
              <w:t>A</w:t>
            </w:r>
            <w:r>
              <w:rPr>
                <w:rFonts w:eastAsia="宋体"/>
                <w:kern w:val="0"/>
                <w:szCs w:val="24"/>
              </w:rPr>
              <w:t xml:space="preserve">nal </w:t>
            </w:r>
            <w:r>
              <w:rPr>
                <w:rFonts w:hint="eastAsia" w:eastAsia="宋体"/>
                <w:kern w:val="0"/>
                <w:szCs w:val="24"/>
              </w:rPr>
              <w:t>F</w:t>
            </w:r>
            <w:r>
              <w:rPr>
                <w:rFonts w:eastAsia="宋体"/>
                <w:kern w:val="0"/>
                <w:szCs w:val="24"/>
              </w:rPr>
              <w:t>istula):ti,ab,kw OR (</w:t>
            </w:r>
            <w:r>
              <w:rPr>
                <w:rFonts w:hint="eastAsia" w:eastAsia="宋体"/>
                <w:kern w:val="0"/>
                <w:szCs w:val="24"/>
              </w:rPr>
              <w:t>L</w:t>
            </w:r>
            <w:r>
              <w:rPr>
                <w:rFonts w:eastAsia="宋体"/>
                <w:kern w:val="0"/>
                <w:szCs w:val="24"/>
              </w:rPr>
              <w:t xml:space="preserve">ow </w:t>
            </w:r>
            <w:r>
              <w:rPr>
                <w:rFonts w:hint="eastAsia" w:eastAsia="宋体"/>
                <w:kern w:val="0"/>
                <w:szCs w:val="24"/>
              </w:rPr>
              <w:t>A</w:t>
            </w:r>
            <w:r>
              <w:rPr>
                <w:rFonts w:eastAsia="宋体"/>
                <w:kern w:val="0"/>
                <w:szCs w:val="24"/>
              </w:rPr>
              <w:t xml:space="preserve">nal </w:t>
            </w:r>
            <w:r>
              <w:rPr>
                <w:rFonts w:hint="eastAsia" w:eastAsia="宋体"/>
                <w:kern w:val="0"/>
                <w:szCs w:val="24"/>
              </w:rPr>
              <w:t>F</w:t>
            </w:r>
            <w:r>
              <w:rPr>
                <w:rFonts w:eastAsia="宋体"/>
                <w:kern w:val="0"/>
                <w:szCs w:val="24"/>
              </w:rPr>
              <w:t>istula):ti,ab,kw</w:t>
            </w:r>
          </w:p>
          <w:p w14:paraId="73E421AF">
            <w:pPr>
              <w:widowControl/>
              <w:textAlignment w:val="center"/>
              <w:rPr>
                <w:rFonts w:eastAsia="宋体"/>
                <w:szCs w:val="24"/>
              </w:rPr>
            </w:pPr>
            <w:r>
              <w:rPr>
                <w:rFonts w:eastAsia="宋体"/>
                <w:kern w:val="0"/>
                <w:szCs w:val="24"/>
              </w:rPr>
              <w:t>#1 AND #2</w:t>
            </w:r>
          </w:p>
        </w:tc>
      </w:tr>
    </w:tbl>
    <w:p w14:paraId="519B01CC">
      <w:pPr>
        <w:rPr>
          <w:b/>
          <w:bCs/>
        </w:rPr>
      </w:pPr>
    </w:p>
    <w:p w14:paraId="42A0E2A6">
      <w:pPr>
        <w:rPr>
          <w:b/>
          <w:bCs/>
        </w:rPr>
      </w:pPr>
    </w:p>
    <w:p w14:paraId="3123D797">
      <w:pPr>
        <w:rPr>
          <w:b/>
          <w:bCs/>
        </w:rPr>
      </w:pPr>
    </w:p>
    <w:p w14:paraId="47129B2A">
      <w:pPr>
        <w:rPr>
          <w:b/>
          <w:bCs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2FD775E5">
      <w:pPr>
        <w:rPr>
          <w:b/>
          <w:bCs/>
          <w:szCs w:val="24"/>
        </w:rPr>
      </w:pPr>
      <w:r>
        <w:rPr>
          <w:b/>
          <w:bCs/>
        </w:rPr>
        <w:t>Supplementa</w:t>
      </w:r>
      <w:r>
        <w:rPr>
          <w:rFonts w:hint="eastAsia"/>
          <w:b/>
          <w:bCs/>
          <w:lang w:val="en-US" w:eastAsia="zh-CN"/>
        </w:rPr>
        <w:t>ry</w:t>
      </w:r>
      <w:r>
        <w:rPr>
          <w:b/>
          <w:bCs/>
          <w:szCs w:val="24"/>
        </w:rPr>
        <w:t xml:space="preserve"> Table 2.</w:t>
      </w:r>
      <w:r>
        <w:rPr>
          <w:szCs w:val="24"/>
        </w:rPr>
        <w:t xml:space="preserve"> </w:t>
      </w:r>
      <w:bookmarkStart w:id="0" w:name="_GoBack"/>
      <w:r>
        <w:rPr>
          <w:b/>
          <w:bCs/>
          <w:szCs w:val="24"/>
        </w:rPr>
        <w:t>Assessment of quality of included studies (Newcastle-Ottawa Quality Assessment Scale).</w:t>
      </w:r>
    </w:p>
    <w:bookmarkEnd w:id="0"/>
    <w:tbl>
      <w:tblPr>
        <w:tblStyle w:val="12"/>
        <w:tblW w:w="5000" w:type="pct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5"/>
        <w:gridCol w:w="704"/>
        <w:gridCol w:w="925"/>
        <w:gridCol w:w="1128"/>
        <w:gridCol w:w="1128"/>
        <w:gridCol w:w="1004"/>
        <w:gridCol w:w="1128"/>
        <w:gridCol w:w="1630"/>
        <w:gridCol w:w="1630"/>
        <w:gridCol w:w="1004"/>
        <w:gridCol w:w="1412"/>
        <w:gridCol w:w="876"/>
      </w:tblGrid>
      <w:tr w14:paraId="745AAC4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566" w:type="pct"/>
            <w:tcBorders>
              <w:top w:val="single" w:color="000000" w:sz="12" w:space="0"/>
              <w:left w:val="nil"/>
              <w:bottom w:val="single" w:color="000000" w:sz="4" w:space="0"/>
              <w:right w:val="nil"/>
              <w:tl2br w:val="nil"/>
            </w:tcBorders>
            <w:shd w:val="clear" w:color="auto" w:fill="FFFFFF"/>
            <w:noWrap/>
            <w:vAlign w:val="center"/>
          </w:tcPr>
          <w:p w14:paraId="77D2B1A6">
            <w:pPr>
              <w:jc w:val="left"/>
            </w:pPr>
            <w:r>
              <w:t>Author</w:t>
            </w:r>
          </w:p>
        </w:tc>
        <w:tc>
          <w:tcPr>
            <w:tcW w:w="248" w:type="pct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68F616E0">
            <w:pPr>
              <w:jc w:val="left"/>
            </w:pPr>
            <w:r>
              <w:t>Year</w:t>
            </w:r>
          </w:p>
        </w:tc>
        <w:tc>
          <w:tcPr>
            <w:tcW w:w="326" w:type="pct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43D88D08">
            <w:pPr>
              <w:jc w:val="left"/>
            </w:pPr>
            <w:r>
              <w:t>Clear research objectives</w:t>
            </w:r>
          </w:p>
        </w:tc>
        <w:tc>
          <w:tcPr>
            <w:tcW w:w="398" w:type="pct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65A736D5">
            <w:pPr>
              <w:jc w:val="left"/>
            </w:pPr>
            <w:r>
              <w:t>Consistency in patient inclusion</w:t>
            </w:r>
          </w:p>
        </w:tc>
        <w:tc>
          <w:tcPr>
            <w:tcW w:w="398" w:type="pct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5AEF7BCB">
            <w:pPr>
              <w:jc w:val="left"/>
            </w:pPr>
            <w:r>
              <w:t>Representativeness of the cohort</w:t>
            </w:r>
          </w:p>
        </w:tc>
        <w:tc>
          <w:tcPr>
            <w:tcW w:w="354" w:type="pct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306D0299">
            <w:pPr>
              <w:jc w:val="left"/>
            </w:pPr>
            <w:r>
              <w:t>Adequate sample size</w:t>
            </w:r>
          </w:p>
        </w:tc>
        <w:tc>
          <w:tcPr>
            <w:tcW w:w="398" w:type="pct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610977FA">
            <w:pPr>
              <w:jc w:val="left"/>
            </w:pPr>
            <w:r>
              <w:t>Complete data collection</w:t>
            </w:r>
          </w:p>
        </w:tc>
        <w:tc>
          <w:tcPr>
            <w:tcW w:w="575" w:type="pct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434CAE34">
            <w:pPr>
              <w:jc w:val="center"/>
            </w:pPr>
            <w:r>
              <w:t>Objectivity of evaluation</w:t>
            </w:r>
          </w:p>
        </w:tc>
        <w:tc>
          <w:tcPr>
            <w:tcW w:w="575" w:type="pct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6FC3C872">
            <w:pPr>
              <w:jc w:val="left"/>
            </w:pPr>
            <w:r>
              <w:t>Sufficient follow-up duration or low follow-up loss rate</w:t>
            </w:r>
          </w:p>
        </w:tc>
        <w:tc>
          <w:tcPr>
            <w:tcW w:w="354" w:type="pct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44EDA929">
            <w:pPr>
              <w:jc w:val="left"/>
            </w:pPr>
            <w:r>
              <w:t>Clearly defined outcome measures</w:t>
            </w:r>
          </w:p>
        </w:tc>
        <w:tc>
          <w:tcPr>
            <w:tcW w:w="498" w:type="pct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  <w:noWrap/>
            <w:vAlign w:val="center"/>
          </w:tcPr>
          <w:p w14:paraId="6C7F6B86">
            <w:pPr>
              <w:jc w:val="left"/>
            </w:pPr>
            <w:r>
              <w:t>Appropriate and reproducible outcome assessment</w:t>
            </w:r>
          </w:p>
        </w:tc>
        <w:tc>
          <w:tcPr>
            <w:tcW w:w="309" w:type="pct"/>
            <w:tcBorders>
              <w:top w:val="single" w:color="000000" w:sz="12" w:space="0"/>
              <w:left w:val="nil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6F4CE784">
            <w:pPr>
              <w:jc w:val="center"/>
            </w:pPr>
            <w:r>
              <w:t>Score</w:t>
            </w:r>
          </w:p>
        </w:tc>
      </w:tr>
      <w:tr w14:paraId="2C5C932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566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58F632D">
            <w:r>
              <w:t>Pankaj Garg</w:t>
            </w:r>
            <w:r>
              <w:fldChar w:fldCharType="begin"/>
            </w:r>
            <w:r>
              <w:instrText xml:space="preserve"> ADDIN EN.CITE &lt;EndNote&gt;&lt;Cite&gt;&lt;Author&gt;Garg&lt;/Author&gt;&lt;Year&gt;2021&lt;/Year&gt;&lt;RecNum&gt;10&lt;/RecNum&gt;&lt;DisplayText&gt;&lt;style face="superscript"&gt;[6]&lt;/style&gt;&lt;/DisplayText&gt;&lt;record&gt;&lt;rec-number&gt;10&lt;/rec-number&gt;&lt;foreign-keys&gt;&lt;key app="EN" db-id="2ded29pv75tf26e0zx2xxs212wswvsdafax5" timestamp="1754670719"&gt;10&lt;/key&gt;&lt;/foreign-keys&gt;&lt;ref-type name="Journal Article"&gt;17&lt;/ref-type&gt;&lt;contributors&gt;&lt;authors&gt;&lt;author&gt;Garg, P.&lt;/author&gt;&lt;author&gt;Kaur, B.&lt;/author&gt;&lt;author&gt;Menon, G. R.&lt;/author&gt;&lt;/authors&gt;&lt;/contributors&gt;&lt;auth-address&gt;Indus International Hospital, Mohali, India.&amp;#xD;Garg Fistula Research Institute, Panchkula, India.&amp;#xD;SSRD MRI Centre, Chandigarh, India.&amp;#xD;Indian Council of Medical Research, New Delhi, India.&lt;/auth-address&gt;&lt;titles&gt;&lt;title&gt;Transanal opening of the intersphincteric space: a novel sphincter-sparing procedure to treat 325 high complex anal fistulas with long-term follow-up&lt;/title&gt;&lt;secondary-title&gt;Colorectal Dis&lt;/secondary-title&gt;&lt;/titles&gt;&lt;periodical&gt;&lt;full-title&gt;Colorectal Dis&lt;/full-title&gt;&lt;/periodical&gt;&lt;pages&gt;1213-1224&lt;/pages&gt;&lt;volume&gt;23&lt;/volume&gt;&lt;number&gt;5&lt;/number&gt;&lt;edition&gt;2021/02/03&lt;/edition&gt;&lt;keywords&gt;&lt;keyword&gt;Adult&lt;/keyword&gt;&lt;keyword&gt;*Anal Canal/surgery&lt;/keyword&gt;&lt;keyword&gt;Follow-Up Studies&lt;/keyword&gt;&lt;keyword&gt;Humans&lt;/keyword&gt;&lt;keyword&gt;Male&lt;/keyword&gt;&lt;keyword&gt;Middle Aged&lt;/keyword&gt;&lt;keyword&gt;Organ Sparing Treatments&lt;/keyword&gt;&lt;keyword&gt;*Rectal Fistula/surgery&lt;/keyword&gt;&lt;keyword&gt;Recurrence&lt;/keyword&gt;&lt;keyword&gt;Treatment Outcome&lt;/keyword&gt;&lt;keyword&gt;anal fistula&lt;/keyword&gt;&lt;keyword&gt;fistulotomy&lt;/keyword&gt;&lt;keyword&gt;incontinence&lt;/keyword&gt;&lt;keyword&gt;sphincter&lt;/keyword&gt;&lt;/keywords&gt;&lt;dates&gt;&lt;year&gt;2021&lt;/year&gt;&lt;pub-dates&gt;&lt;date&gt;May&lt;/date&gt;&lt;/pub-dates&gt;&lt;/dates&gt;&lt;isbn&gt;1463-1318 (Electronic)&amp;#xD;1462-8910 (Linking)&lt;/isbn&gt;&lt;accession-num&gt;33529491&lt;/accession-num&gt;&lt;urls&gt;&lt;related-urls&gt;&lt;url&gt;https://www.ncbi.nlm.nih.gov/pubmed/33529491&lt;/url&gt;&lt;/related-urls&gt;&lt;/urls&gt;&lt;electronic-resource-num&gt;10.1111/codi.15555&lt;/electronic-resource-num&gt;&lt;/record&gt;&lt;/Cite&gt;&lt;/EndNote&gt;</w:instrText>
            </w:r>
            <w:r>
              <w:fldChar w:fldCharType="separate"/>
            </w:r>
            <w:r>
              <w:rPr>
                <w:vertAlign w:val="superscript"/>
              </w:rPr>
              <w:t>[1]</w:t>
            </w:r>
            <w:r>
              <w:fldChar w:fldCharType="end"/>
            </w:r>
          </w:p>
        </w:tc>
        <w:tc>
          <w:tcPr>
            <w:tcW w:w="248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8DC9148">
            <w:r>
              <w:t>2021</w:t>
            </w:r>
          </w:p>
        </w:tc>
        <w:tc>
          <w:tcPr>
            <w:tcW w:w="326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0BE727D">
            <w:pPr>
              <w:jc w:val="center"/>
            </w:pPr>
            <w:r>
              <w:t>1</w:t>
            </w:r>
          </w:p>
        </w:tc>
        <w:tc>
          <w:tcPr>
            <w:tcW w:w="398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53AFEA6">
            <w:pPr>
              <w:jc w:val="center"/>
            </w:pPr>
            <w:r>
              <w:t>1</w:t>
            </w:r>
          </w:p>
        </w:tc>
        <w:tc>
          <w:tcPr>
            <w:tcW w:w="398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3480CF5">
            <w:pPr>
              <w:jc w:val="center"/>
            </w:pPr>
            <w:r>
              <w:t>1</w:t>
            </w:r>
          </w:p>
        </w:tc>
        <w:tc>
          <w:tcPr>
            <w:tcW w:w="354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E25E700">
            <w:pPr>
              <w:jc w:val="center"/>
            </w:pPr>
            <w:r>
              <w:t>0</w:t>
            </w:r>
          </w:p>
        </w:tc>
        <w:tc>
          <w:tcPr>
            <w:tcW w:w="398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F1BB63B">
            <w:pPr>
              <w:jc w:val="center"/>
            </w:pPr>
            <w:r>
              <w:t>1</w:t>
            </w:r>
          </w:p>
        </w:tc>
        <w:tc>
          <w:tcPr>
            <w:tcW w:w="575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2AB6F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75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2BB2C00">
            <w:pPr>
              <w:jc w:val="center"/>
            </w:pPr>
            <w:r>
              <w:t>1</w:t>
            </w:r>
          </w:p>
        </w:tc>
        <w:tc>
          <w:tcPr>
            <w:tcW w:w="354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193F443">
            <w:pPr>
              <w:jc w:val="center"/>
            </w:pPr>
            <w:r>
              <w:t>1</w:t>
            </w:r>
          </w:p>
        </w:tc>
        <w:tc>
          <w:tcPr>
            <w:tcW w:w="498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40E7645">
            <w:pPr>
              <w:jc w:val="center"/>
            </w:pPr>
            <w:r>
              <w:t>1</w:t>
            </w:r>
          </w:p>
        </w:tc>
        <w:tc>
          <w:tcPr>
            <w:tcW w:w="309" w:type="pct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DC1D4B">
            <w:pPr>
              <w:jc w:val="center"/>
            </w:pPr>
            <w:r>
              <w:t>8</w:t>
            </w:r>
          </w:p>
        </w:tc>
      </w:tr>
      <w:tr w14:paraId="6948905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684F409">
            <w:r>
              <w:t>Baolei Huang</w:t>
            </w:r>
            <w:r>
              <w:fldChar w:fldCharType="begin"/>
            </w:r>
            <w:r>
              <w:instrText xml:space="preserve"> ADDIN EN.CITE &lt;EndNote&gt;&lt;Cite&gt;&lt;Author&gt;Huang&lt;/Author&gt;&lt;Year&gt;2021&lt;/Year&gt;&lt;RecNum&gt;1&lt;/RecNum&gt;&lt;DisplayText&gt;&lt;style face="superscript"&gt;[3]&lt;/style&gt;&lt;/DisplayText&gt;&lt;record&gt;&lt;rec-number&gt;1&lt;/rec-number&gt;&lt;foreign-keys&gt;&lt;key app="EN" db-id="f90efr5pwpevvme2pzrp5txbr5ft0epsptrs" timestamp="1754707091"&gt;1&lt;/key&gt;&lt;/foreign-keys&gt;&lt;ref-type name="Journal Article"&gt;17&lt;/ref-type&gt;&lt;contributors&gt;&lt;authors&gt;&lt;author&gt;Huang, B.&lt;/author&gt;&lt;author&gt;Wang, X.&lt;/author&gt;&lt;author&gt;Zhou, D.&lt;/author&gt;&lt;author&gt;Chen, S.&lt;/author&gt;&lt;author&gt;Li, B.&lt;/author&gt;&lt;author&gt;Wang, Y.&lt;/author&gt;&lt;author&gt;Tai, J.&lt;/author&gt;&lt;/authors&gt;&lt;/contributors&gt;&lt;auth-address&gt;Department of Colorectal Surgery, the First Hospital of Jilin University, Changchun, China.&lt;/auth-address&gt;&lt;titles&gt;&lt;title&gt;Treating highly complex anal fistula with a new method of combined intraoperative endoanal ultrasonography (IOEAUS) and transanal opening of intersphincteric space (TROPIS)&lt;/title&gt;&lt;secondary-title&gt;Wideochir Inne Tech Maloinwazyjne&lt;/secondary-title&gt;&lt;/titles&gt;&lt;periodical&gt;&lt;full-title&gt;Wideochir Inne Tech Maloinwazyjne&lt;/full-title&gt;&lt;/periodical&gt;&lt;pages&gt;697-703&lt;/pages&gt;&lt;volume&gt;16&lt;/volume&gt;&lt;number&gt;4&lt;/number&gt;&lt;edition&gt;2021/12/25&lt;/edition&gt;&lt;keywords&gt;&lt;keyword&gt;anal fistula&lt;/keyword&gt;&lt;keyword&gt;fecal incontinence&lt;/keyword&gt;&lt;keyword&gt;recurrence&lt;/keyword&gt;&lt;keyword&gt;transanal opening of intersphincteric space (TROPIS)&lt;/keyword&gt;&lt;keyword&gt;ultrasonography&lt;/keyword&gt;&lt;/keywords&gt;&lt;dates&gt;&lt;year&gt;2021&lt;/year&gt;&lt;pub-dates&gt;&lt;date&gt;Dec&lt;/date&gt;&lt;/pub-dates&gt;&lt;/dates&gt;&lt;isbn&gt;1895-4588 (Print)&amp;#xD;2299-0054 (Electronic)&amp;#xD;1895-4588 (Linking)&lt;/isbn&gt;&lt;accession-num&gt;34950264&lt;/accession-num&gt;&lt;urls&gt;&lt;related-urls&gt;&lt;url&gt;https://www.ncbi.nlm.nih.gov/pubmed/34950264&lt;/url&gt;&lt;/related-urls&gt;&lt;/urls&gt;&lt;custom2&gt;PMC8669985&lt;/custom2&gt;&lt;electronic-resource-num&gt;10.5114/wiitm.2021.104368&lt;/electronic-resource-num&gt;&lt;/record&gt;&lt;/Cite&gt;&lt;/EndNote&gt;</w:instrText>
            </w:r>
            <w:r>
              <w:fldChar w:fldCharType="separate"/>
            </w:r>
            <w:r>
              <w:rPr>
                <w:vertAlign w:val="superscript"/>
              </w:rPr>
              <w:t>[2]</w:t>
            </w:r>
            <w:r>
              <w:fldChar w:fldCharType="end"/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592ED10">
            <w:r>
              <w:t>2021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09D58F3">
            <w:pPr>
              <w:jc w:val="center"/>
            </w:pPr>
            <w:r>
              <w:t>1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F6A4FD3">
            <w:pPr>
              <w:jc w:val="center"/>
            </w:pPr>
            <w:r>
              <w:t>1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C851A8E">
            <w:pPr>
              <w:jc w:val="center"/>
            </w:pPr>
            <w:r>
              <w:t>1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958AFAC">
            <w:pPr>
              <w:jc w:val="center"/>
            </w:pPr>
            <w: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A583D83">
            <w:pPr>
              <w:jc w:val="center"/>
            </w:pPr>
            <w:r>
              <w:t>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63CB73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24E612B">
            <w:pPr>
              <w:jc w:val="center"/>
            </w:pPr>
            <w:r>
              <w:t>0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3F2AFCC">
            <w:pPr>
              <w:jc w:val="center"/>
            </w:pPr>
            <w:r>
              <w:t>1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04F04A4">
            <w:pPr>
              <w:jc w:val="center"/>
            </w:pPr>
            <w: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271F820">
            <w:pPr>
              <w:jc w:val="center"/>
            </w:pPr>
            <w:r>
              <w:t>7</w:t>
            </w:r>
          </w:p>
        </w:tc>
      </w:tr>
      <w:tr w14:paraId="5BDD57E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</w:trPr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FD6DDC3">
            <w:r>
              <w:fldChar w:fldCharType="begin"/>
            </w:r>
            <w:r>
              <w:instrText xml:space="preserve"> HYPERLINK "https://pubmed.99885.net/?term=Li+YB&amp;cauthor_id=33517706" \o "https://pubmed.99885.net/?term=Li+YB&amp;cauthor_id=33517706" </w:instrText>
            </w:r>
            <w:r>
              <w:fldChar w:fldCharType="separate"/>
            </w:r>
            <w:r>
              <w:t>Yu-Bo Li</w:t>
            </w:r>
            <w:r>
              <w:fldChar w:fldCharType="end"/>
            </w:r>
            <w:r>
              <w:fldChar w:fldCharType="begin"/>
            </w:r>
            <w:r>
              <w:instrText xml:space="preserve"> ADDIN EN.CITE &lt;EndNote&gt;&lt;Cite&gt;&lt;Author&gt;Li&lt;/Author&gt;&lt;Year&gt;2022&lt;/Year&gt;&lt;RecNum&gt;4&lt;/RecNum&gt;&lt;DisplayText&gt;&lt;style face="superscript"&gt;[4]&lt;/style&gt;&lt;/DisplayText&gt;&lt;record&gt;&lt;rec-number&gt;4&lt;/rec-number&gt;&lt;foreign-keys&gt;&lt;key app="EN" db-id="2ded29pv75tf26e0zx2xxs212wswvsdafax5" timestamp="1754669407"&gt;4&lt;/key&gt;&lt;/foreign-keys&gt;&lt;ref-type name="Journal Article"&gt;17&lt;/ref-type&gt;&lt;contributors&gt;&lt;authors&gt;&lt;author&gt;Li, Y. B.&lt;/author&gt;&lt;author&gt;Chen, J. H.&lt;/author&gt;&lt;author&gt;Wang, M. D.&lt;/author&gt;&lt;author&gt;Fu, J.&lt;/author&gt;&lt;author&gt;Zhou, B. C.&lt;/author&gt;&lt;author&gt;Li, D. G.&lt;/author&gt;&lt;author&gt;Zeng, H. Q.&lt;/author&gt;&lt;author&gt;Pang, L. M.&lt;/author&gt;&lt;/authors&gt;&lt;/contributors&gt;&lt;auth-address&gt;Colorectal Surgery Division, 248924The First Affiliated Hospital of Guangxi University of Chinese Medicine, Nanning, Guangxi, China.&amp;#xD;Colorectal Surgery Division, 105809Affiliated Hospital of Jinggangshan University, Ji&amp;apos;an, Jiangxi, China.&amp;#xD;Colorectal Surgery Division, The People Hospital of Guangxi Zhuang Autonomous Region, Nanning, Guangxi, China.&lt;/auth-address&gt;&lt;titles&gt;&lt;title&gt;Transanal Opening of Intersphincteric Space for Fistula-in-Ano&lt;/title&gt;&lt;secondary-title&gt;Am Surg&lt;/secondary-title&gt;&lt;/titles&gt;&lt;periodical&gt;&lt;full-title&gt;Am Surg&lt;/full-title&gt;&lt;/periodical&gt;&lt;pages&gt;1131-1136&lt;/pages&gt;&lt;volume&gt;88&lt;/volume&gt;&lt;number&gt;6&lt;/number&gt;&lt;edition&gt;2021/02/02&lt;/edition&gt;&lt;keywords&gt;&lt;keyword&gt;Abscess/etiology&lt;/keyword&gt;&lt;keyword&gt;Anal Canal/surgery&lt;/keyword&gt;&lt;keyword&gt;*Anus Diseases/etiology&lt;/keyword&gt;&lt;keyword&gt;Female&lt;/keyword&gt;&lt;keyword&gt;Humans&lt;/keyword&gt;&lt;keyword&gt;Ligation/methods&lt;/keyword&gt;&lt;keyword&gt;Male&lt;/keyword&gt;&lt;keyword&gt;Prospective Studies&lt;/keyword&gt;&lt;keyword&gt;*Rectal Fistula/etiology/surgery&lt;/keyword&gt;&lt;keyword&gt;Recurrence&lt;/keyword&gt;&lt;keyword&gt;Treatment Outcome&lt;/keyword&gt;&lt;/keywords&gt;&lt;dates&gt;&lt;year&gt;2022&lt;/year&gt;&lt;pub-dates&gt;&lt;date&gt;Jun&lt;/date&gt;&lt;/pub-dates&gt;&lt;/dates&gt;&lt;isbn&gt;1555-9823 (Electronic)&amp;#xD;0003-1348 (Linking)&lt;/isbn&gt;&lt;accession-num&gt;33517706&lt;/accession-num&gt;&lt;urls&gt;&lt;related-urls&gt;&lt;url&gt;https://www.ncbi.nlm.nih.gov/pubmed/33517706&lt;/url&gt;&lt;/related-urls&gt;&lt;/urls&gt;&lt;electronic-resource-num&gt;10.1177/0003134821989048&lt;/electronic-resource-num&gt;&lt;/record&gt;&lt;/Cite&gt;&lt;/EndNote&gt;</w:instrText>
            </w:r>
            <w:r>
              <w:fldChar w:fldCharType="separate"/>
            </w:r>
            <w:r>
              <w:rPr>
                <w:vertAlign w:val="superscript"/>
              </w:rPr>
              <w:t>[3]</w:t>
            </w:r>
            <w:r>
              <w:fldChar w:fldCharType="end"/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1063F22">
            <w:r>
              <w:t>2022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7B0C528">
            <w:pPr>
              <w:jc w:val="center"/>
            </w:pPr>
            <w:r>
              <w:t>1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3886627">
            <w:pPr>
              <w:jc w:val="center"/>
            </w:pPr>
            <w:r>
              <w:t>1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2C398BE">
            <w:pPr>
              <w:jc w:val="center"/>
            </w:pPr>
            <w:r>
              <w:t>1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4C7A22A">
            <w:pPr>
              <w:jc w:val="center"/>
            </w:pPr>
            <w: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9A509E4">
            <w:pPr>
              <w:jc w:val="center"/>
            </w:pPr>
            <w:r>
              <w:t>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792122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0F8DCC3">
            <w:pPr>
              <w:jc w:val="center"/>
            </w:pPr>
            <w:r>
              <w:t>1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639DC4A">
            <w:pPr>
              <w:jc w:val="center"/>
            </w:pPr>
            <w:r>
              <w:t>1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4C4C63E">
            <w:pPr>
              <w:jc w:val="center"/>
            </w:pPr>
            <w: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BF61DAD">
            <w:pPr>
              <w:jc w:val="center"/>
            </w:pPr>
            <w:r>
              <w:t>8</w:t>
            </w:r>
          </w:p>
        </w:tc>
      </w:tr>
      <w:tr w14:paraId="0BE8353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5831675">
            <w:r>
              <w:t>Pankaj Garg</w:t>
            </w:r>
            <w:r>
              <w:fldChar w:fldCharType="begin">
                <w:fldData xml:space="preserve">PEVuZE5vdGU+PENpdGU+PEF1dGhvcj5HYXJnPC9BdXRob3I+PFllYXI+MjAyMTwvWWVhcj48UmVj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PEVuZE5vdGU+PENpdGU+PEF1dGhvcj5HYXJnPC9BdXRob3I+PFllYXI+MjAyMTwvWWVhcj48UmVj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vertAlign w:val="superscript"/>
              </w:rPr>
              <w:t>[4]</w:t>
            </w:r>
            <w:r>
              <w:fldChar w:fldCharType="end"/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1016DE8">
            <w:r>
              <w:t>2021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EE22A3B">
            <w:pPr>
              <w:jc w:val="center"/>
            </w:pPr>
            <w:r>
              <w:t>1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57B082D">
            <w:pPr>
              <w:jc w:val="center"/>
            </w:pPr>
            <w:r>
              <w:t>1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BF59204">
            <w:pPr>
              <w:jc w:val="center"/>
            </w:pPr>
            <w:r>
              <w:t>1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6EFA454">
            <w:pPr>
              <w:jc w:val="center"/>
            </w:pPr>
            <w: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2801489">
            <w:pPr>
              <w:jc w:val="center"/>
            </w:pPr>
            <w:r>
              <w:t>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A0CCC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1DD7FDB">
            <w:pPr>
              <w:jc w:val="center"/>
            </w:pPr>
            <w:r>
              <w:t>1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97ED4EB">
            <w:pPr>
              <w:jc w:val="center"/>
            </w:pPr>
            <w:r>
              <w:t>1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1BB0579">
            <w:pPr>
              <w:jc w:val="center"/>
            </w:pPr>
            <w: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ECDE573">
            <w:pPr>
              <w:jc w:val="center"/>
            </w:pPr>
            <w:r>
              <w:t>8</w:t>
            </w:r>
          </w:p>
        </w:tc>
      </w:tr>
      <w:tr w14:paraId="3E2C74AB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64F0B12">
            <w:r>
              <w:t>Shrivats Mishra</w:t>
            </w:r>
            <w:r>
              <w:fldChar w:fldCharType="begin"/>
            </w:r>
            <w:r>
              <w:instrText xml:space="preserve"> ADDIN EN.CITE &lt;EndNote&gt;&lt;Cite&gt;&lt;Author&gt;Mishra&lt;/Author&gt;&lt;Year&gt;2024&lt;/Year&gt;&lt;RecNum&gt;22&lt;/RecNum&gt;&lt;DisplayText&gt;&lt;style face="superscript"&gt;[8]&lt;/style&gt;&lt;/DisplayText&gt;&lt;record&gt;&lt;rec-number&gt;22&lt;/rec-number&gt;&lt;foreign-keys&gt;&lt;key app="EN" db-id="2ded29pv75tf26e0zx2xxs212wswvsdafax5" timestamp="1754673631"&gt;22&lt;/key&gt;&lt;/foreign-keys&gt;&lt;ref-type name="Journal Article"&gt;17&lt;/ref-type&gt;&lt;contributors&gt;&lt;authors&gt;&lt;author&gt;Mishra, S.&lt;/author&gt;&lt;author&gt;Thakur, D. S.&lt;/author&gt;&lt;author&gt;Somashekar, U.&lt;/author&gt;&lt;author&gt;Verma, A.&lt;/author&gt;&lt;author&gt;Sharma, D.&lt;/author&gt;&lt;/authors&gt;&lt;/contributors&gt;&lt;auth-address&gt;Department of General Surgery, NSCB Medical College, Jabalpur, India.&amp;#xD;Department of Emergency Medicine, NSCB Medical College, Jabalpur, India.&lt;/auth-address&gt;&lt;titles&gt;&lt;title&gt;The management of complex fistula in ano by transanal opening of the intersphincteric space (TROPIS): short-term results&lt;/title&gt;&lt;secondary-title&gt;Ann Coloproctol&lt;/secondary-title&gt;&lt;/titles&gt;&lt;periodical&gt;&lt;full-title&gt;Ann Coloproctol&lt;/full-title&gt;&lt;/periodical&gt;&lt;pages&gt;474-480&lt;/pages&gt;&lt;volume&gt;40&lt;/volume&gt;&lt;number&gt;5&lt;/number&gt;&lt;edition&gt;2023/04/01&lt;/edition&gt;&lt;keywords&gt;&lt;keyword&gt;Magnetic resonance fistulogram&lt;/keyword&gt;&lt;keyword&gt;St. Mark&amp;apos;s incontinence score&lt;/keyword&gt;&lt;keyword&gt;Transanal opening of the intersphincteric space&lt;/keyword&gt;&lt;keyword&gt;was reported.&lt;/keyword&gt;&lt;/keywords&gt;&lt;dates&gt;&lt;year&gt;2024&lt;/year&gt;&lt;pub-dates&gt;&lt;date&gt;Oct&lt;/date&gt;&lt;/pub-dates&gt;&lt;/dates&gt;&lt;isbn&gt;2287-9714 (Print)&amp;#xD;2287-9722 (Electronic)&amp;#xD;2287-9714 (Linking)&lt;/isbn&gt;&lt;accession-num&gt;36999174&lt;/accession-num&gt;&lt;urls&gt;&lt;related-urls&gt;&lt;url&gt;https://www.ncbi.nlm.nih.gov/pubmed/36999174&lt;/url&gt;&lt;/related-urls&gt;&lt;/urls&gt;&lt;custom2&gt;PMC11532384&lt;/custom2&gt;&lt;electronic-resource-num&gt;10.3393/ac.2022.01018.0145&lt;/electronic-resource-num&gt;&lt;/record&gt;&lt;/Cite&gt;&lt;/EndNote&gt;</w:instrText>
            </w:r>
            <w:r>
              <w:fldChar w:fldCharType="separate"/>
            </w:r>
            <w:r>
              <w:rPr>
                <w:vertAlign w:val="superscript"/>
              </w:rPr>
              <w:t>[5]</w:t>
            </w:r>
            <w:r>
              <w:fldChar w:fldCharType="end"/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168AE4C">
            <w:r>
              <w:t>2024</w:t>
            </w:r>
          </w:p>
        </w:tc>
        <w:tc>
          <w:tcPr>
            <w:tcW w:w="326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7F35DA5">
            <w:pPr>
              <w:jc w:val="center"/>
            </w:pPr>
            <w:r>
              <w:t>1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E5C5A16">
            <w:pPr>
              <w:jc w:val="center"/>
            </w:pPr>
            <w:r>
              <w:t>1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7F8C67B">
            <w:pPr>
              <w:jc w:val="center"/>
            </w:pPr>
            <w:r>
              <w:t>1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DE365F4">
            <w:pPr>
              <w:jc w:val="center"/>
            </w:pPr>
            <w: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7CB127D">
            <w:pPr>
              <w:jc w:val="center"/>
            </w:pPr>
            <w:r>
              <w:t>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911EE1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E5A4C91">
            <w:pPr>
              <w:jc w:val="center"/>
            </w:pPr>
            <w:r>
              <w:t>0</w:t>
            </w: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93844AB">
            <w:pPr>
              <w:jc w:val="center"/>
            </w:pPr>
            <w:r>
              <w:t>1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EAF46D5">
            <w:pPr>
              <w:jc w:val="center"/>
            </w:pPr>
            <w: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53D5D2E">
            <w:pPr>
              <w:jc w:val="center"/>
            </w:pPr>
            <w:r>
              <w:t>7</w:t>
            </w:r>
          </w:p>
        </w:tc>
      </w:tr>
      <w:tr w14:paraId="7D9174ED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566" w:type="pct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noWrap/>
            <w:vAlign w:val="center"/>
          </w:tcPr>
          <w:p w14:paraId="1ABDD5CD">
            <w:r>
              <w:t>Pankaj Garg</w:t>
            </w:r>
            <w:r>
              <w:fldChar w:fldCharType="begin"/>
            </w:r>
            <w:r>
              <w:instrText xml:space="preserve"> ADDIN EN.CITE &lt;EndNote&gt;&lt;Cite&gt;&lt;Author&gt;Garg&lt;/Author&gt;&lt;Year&gt;2017&lt;/Year&gt;&lt;RecNum&gt;5&lt;/RecNum&gt;&lt;DisplayText&gt;&lt;style face="superscript"&gt;[5]&lt;/style&gt;&lt;/DisplayText&gt;&lt;record&gt;&lt;rec-number&gt;5&lt;/rec-number&gt;&lt;foreign-keys&gt;&lt;key app="EN" db-id="2ded29pv75tf26e0zx2xxs212wswvsdafax5" timestamp="1754669472"&gt;5&lt;/key&gt;&lt;/foreign-keys&gt;&lt;ref-type name="Journal Article"&gt;17&lt;/ref-type&gt;&lt;contributors&gt;&lt;authors&gt;&lt;author&gt;Garg, P.&lt;/author&gt;&lt;/authors&gt;&lt;/contributors&gt;&lt;auth-address&gt;Colorectal Surgery Division, Indus Super Specialty Hospital, Mohali, Punjab, India; Garg Fistula Research Institute, Panchkula, Haryana, India. Electronic address: drgargpankaj@yahoo.com.&lt;/auth-address&gt;&lt;titles&gt;&lt;title&gt;Transanal opening of intersphincteric space (TROPIS) - A new procedure to treat high complex anal fistula&lt;/title&gt;&lt;secondary-title&gt;Int J Surg&lt;/secondary-title&gt;&lt;/titles&gt;&lt;periodical&gt;&lt;full-title&gt;Int J Surg&lt;/full-title&gt;&lt;/periodical&gt;&lt;pages&gt;130-134&lt;/pages&gt;&lt;volume&gt;40&lt;/volume&gt;&lt;edition&gt;2017/03/06&lt;/edition&gt;&lt;keywords&gt;&lt;keyword&gt;Adult&lt;/keyword&gt;&lt;keyword&gt;Anal Canal/*surgery&lt;/keyword&gt;&lt;keyword&gt;Cohort Studies&lt;/keyword&gt;&lt;keyword&gt;Female&lt;/keyword&gt;&lt;keyword&gt;Humans&lt;/keyword&gt;&lt;keyword&gt;Male&lt;/keyword&gt;&lt;keyword&gt;Middle Aged&lt;/keyword&gt;&lt;keyword&gt;Perineum/*surgery&lt;/keyword&gt;&lt;keyword&gt;Prospective Studies&lt;/keyword&gt;&lt;keyword&gt;Rectal Fistula/*surgery&lt;/keyword&gt;&lt;keyword&gt;Recurrence&lt;/keyword&gt;&lt;keyword&gt;Sepsis/etiology&lt;/keyword&gt;&lt;keyword&gt;Treatment Outcome&lt;/keyword&gt;&lt;keyword&gt;Wound Healing&lt;/keyword&gt;&lt;keyword&gt;Anal&lt;/keyword&gt;&lt;keyword&gt;Fistula&lt;/keyword&gt;&lt;keyword&gt;Fistula-in-ano&lt;/keyword&gt;&lt;keyword&gt;Incontinence&lt;/keyword&gt;&lt;keyword&gt;Intersphincteric&lt;/keyword&gt;&lt;keyword&gt;Sepsis&lt;/keyword&gt;&lt;keyword&gt;Supralevator&lt;/keyword&gt;&lt;/keywords&gt;&lt;dates&gt;&lt;year&gt;2017&lt;/year&gt;&lt;pub-dates&gt;&lt;date&gt;Apr&lt;/date&gt;&lt;/pub-dates&gt;&lt;/dates&gt;&lt;isbn&gt;1743-9159 (Electronic)&amp;#xD;1743-9159 (Linking)&lt;/isbn&gt;&lt;accession-num&gt;28259693&lt;/accession-num&gt;&lt;urls&gt;&lt;related-urls&gt;&lt;url&gt;https://www.ncbi.nlm.nih.gov/pubmed/28259693&lt;/url&gt;&lt;/related-urls&gt;&lt;/urls&gt;&lt;electronic-resource-num&gt;10.1016/j.ijsu.2017.02.095&lt;/electronic-resource-num&gt;&lt;/record&gt;&lt;/Cite&gt;&lt;/EndNote&gt;</w:instrText>
            </w:r>
            <w:r>
              <w:fldChar w:fldCharType="separate"/>
            </w:r>
            <w:r>
              <w:rPr>
                <w:vertAlign w:val="superscript"/>
              </w:rPr>
              <w:t>[</w:t>
            </w:r>
            <w:r>
              <w:rPr>
                <w:rFonts w:hint="eastAsia"/>
                <w:vertAlign w:val="superscript"/>
              </w:rPr>
              <w:t>6</w:t>
            </w:r>
            <w:r>
              <w:rPr>
                <w:vertAlign w:val="superscript"/>
              </w:rPr>
              <w:t>]</w:t>
            </w:r>
            <w:r>
              <w:fldChar w:fldCharType="end"/>
            </w:r>
          </w:p>
        </w:tc>
        <w:tc>
          <w:tcPr>
            <w:tcW w:w="248" w:type="pct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noWrap/>
            <w:vAlign w:val="center"/>
          </w:tcPr>
          <w:p w14:paraId="7FBFCBA2">
            <w:r>
              <w:t>2017</w:t>
            </w:r>
          </w:p>
        </w:tc>
        <w:tc>
          <w:tcPr>
            <w:tcW w:w="326" w:type="pct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noWrap/>
            <w:vAlign w:val="center"/>
          </w:tcPr>
          <w:p w14:paraId="7BF40A36">
            <w:pPr>
              <w:jc w:val="center"/>
            </w:pPr>
            <w:r>
              <w:t>1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noWrap/>
            <w:vAlign w:val="center"/>
          </w:tcPr>
          <w:p w14:paraId="5C38A1B1">
            <w:pPr>
              <w:jc w:val="center"/>
            </w:pPr>
            <w:r>
              <w:t>1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noWrap/>
            <w:vAlign w:val="center"/>
          </w:tcPr>
          <w:p w14:paraId="039FE8AF">
            <w:pPr>
              <w:jc w:val="center"/>
            </w:pPr>
            <w:r>
              <w:t>1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noWrap/>
            <w:vAlign w:val="center"/>
          </w:tcPr>
          <w:p w14:paraId="28AE2BD6">
            <w:pPr>
              <w:jc w:val="center"/>
            </w:pPr>
            <w:r>
              <w:t>0</w:t>
            </w:r>
          </w:p>
        </w:tc>
        <w:tc>
          <w:tcPr>
            <w:tcW w:w="398" w:type="pct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noWrap/>
            <w:vAlign w:val="center"/>
          </w:tcPr>
          <w:p w14:paraId="3CD4754D">
            <w:pPr>
              <w:jc w:val="center"/>
            </w:pPr>
            <w:r>
              <w:t>1</w:t>
            </w:r>
          </w:p>
        </w:tc>
        <w:tc>
          <w:tcPr>
            <w:tcW w:w="575" w:type="pct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3DA4EC8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75" w:type="pct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noWrap/>
            <w:vAlign w:val="center"/>
          </w:tcPr>
          <w:p w14:paraId="7B12E3E9">
            <w:pPr>
              <w:jc w:val="center"/>
            </w:pPr>
            <w:r>
              <w:t>0</w:t>
            </w:r>
          </w:p>
        </w:tc>
        <w:tc>
          <w:tcPr>
            <w:tcW w:w="354" w:type="pct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noWrap/>
            <w:vAlign w:val="center"/>
          </w:tcPr>
          <w:p w14:paraId="1EBE5EE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98" w:type="pct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noWrap/>
            <w:vAlign w:val="center"/>
          </w:tcPr>
          <w:p w14:paraId="084C788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09" w:type="pct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FFFFFF"/>
            <w:vAlign w:val="center"/>
          </w:tcPr>
          <w:p w14:paraId="78B97384">
            <w:pPr>
              <w:jc w:val="center"/>
            </w:pPr>
            <w:r>
              <w:t>7</w:t>
            </w:r>
          </w:p>
        </w:tc>
      </w:tr>
    </w:tbl>
    <w:p w14:paraId="503FB08B">
      <w:pPr>
        <w:rPr>
          <w:rFonts w:hint="default" w:eastAsia="等线"/>
          <w:b/>
          <w:bCs/>
          <w:szCs w:val="24"/>
          <w:lang w:val="en-US" w:eastAsia="zh-CN"/>
        </w:rPr>
      </w:pPr>
      <w:r>
        <w:rPr>
          <w:rFonts w:hint="eastAsia"/>
          <w:b/>
          <w:bCs/>
          <w:szCs w:val="24"/>
          <w:lang w:val="en-US" w:eastAsia="zh-CN"/>
        </w:rPr>
        <w:t>Reference</w:t>
      </w:r>
    </w:p>
    <w:p w14:paraId="3664957F">
      <w:pPr>
        <w:autoSpaceDE w:val="0"/>
        <w:autoSpaceDN w:val="0"/>
        <w:adjustRightInd w:val="0"/>
        <w:spacing w:line="240" w:lineRule="auto"/>
        <w:jc w:val="left"/>
        <w:rPr>
          <w:rFonts w:eastAsia="TimesNewRomanPSMT"/>
          <w:color w:val="000000"/>
          <w:kern w:val="0"/>
          <w:szCs w:val="24"/>
        </w:rPr>
      </w:pPr>
      <w:r>
        <w:rPr>
          <w:rFonts w:eastAsia="TimesNewRomanPSMT"/>
          <w:color w:val="000000"/>
          <w:kern w:val="0"/>
          <w:szCs w:val="24"/>
        </w:rPr>
        <w:t xml:space="preserve">[1] Garg P, Kaur B, Menon GR. Transanal opening of the intersphincteric space: a novel sphincter-sparing procedure to treat 325 high complex anal fistulas with long-term follow-up. Colorectal Disease. 2021; 23: 1213–1224. </w:t>
      </w:r>
      <w:r>
        <w:fldChar w:fldCharType="begin"/>
      </w:r>
      <w:r>
        <w:instrText xml:space="preserve"> HYPERLINK "https://doi.org/10.1111/codi.15555" </w:instrText>
      </w:r>
      <w:r>
        <w:fldChar w:fldCharType="separate"/>
      </w:r>
      <w:r>
        <w:rPr>
          <w:rStyle w:val="20"/>
          <w:rFonts w:eastAsia="TimesNewRomanPSMT"/>
          <w:kern w:val="0"/>
          <w:szCs w:val="24"/>
        </w:rPr>
        <w:t>https://doi.org/10.1111/codi.15555</w:t>
      </w:r>
      <w:r>
        <w:rPr>
          <w:rStyle w:val="20"/>
          <w:rFonts w:eastAsia="TimesNewRomanPSMT"/>
          <w:kern w:val="0"/>
          <w:szCs w:val="24"/>
        </w:rPr>
        <w:fldChar w:fldCharType="end"/>
      </w:r>
      <w:r>
        <w:rPr>
          <w:rFonts w:eastAsia="TimesNewRomanPSMT"/>
          <w:color w:val="000000"/>
          <w:kern w:val="0"/>
          <w:szCs w:val="24"/>
        </w:rPr>
        <w:t>.</w:t>
      </w:r>
    </w:p>
    <w:p w14:paraId="4BC7EA2D">
      <w:pPr>
        <w:autoSpaceDE w:val="0"/>
        <w:autoSpaceDN w:val="0"/>
        <w:adjustRightInd w:val="0"/>
        <w:spacing w:line="240" w:lineRule="auto"/>
        <w:jc w:val="left"/>
        <w:rPr>
          <w:rFonts w:eastAsia="TimesNewRomanPSMT"/>
          <w:kern w:val="0"/>
          <w:szCs w:val="24"/>
        </w:rPr>
      </w:pPr>
      <w:r>
        <w:rPr>
          <w:rFonts w:eastAsia="TimesNewRomanPSMT"/>
          <w:kern w:val="0"/>
          <w:szCs w:val="24"/>
        </w:rPr>
        <w:t xml:space="preserve">[2] Huang B, Wang X, Zhou D, Chen S, Li B, Wang Y, </w:t>
      </w:r>
      <w:r>
        <w:rPr>
          <w:rFonts w:eastAsia="TimesNewRomanPS-ItalicMT"/>
          <w:i/>
          <w:iCs/>
          <w:kern w:val="0"/>
          <w:szCs w:val="24"/>
        </w:rPr>
        <w:t>et al</w:t>
      </w:r>
      <w:r>
        <w:rPr>
          <w:rFonts w:eastAsia="TimesNewRomanPSMT"/>
          <w:kern w:val="0"/>
          <w:szCs w:val="24"/>
        </w:rPr>
        <w:t xml:space="preserve">. Treating highly complex anal fistula with a new method of combined intraoperative endoanal ultrasonography (IOEAUS) and transanal opening of intersphincteric space (TROPIS). Videosurgery and Other Miniinvasive Techniques. 2021; 16: 697–703. </w:t>
      </w:r>
      <w:r>
        <w:fldChar w:fldCharType="begin"/>
      </w:r>
      <w:r>
        <w:instrText xml:space="preserve"> HYPERLINK "https://doi.org/10.5114/wiitm.2021.104368" </w:instrText>
      </w:r>
      <w:r>
        <w:fldChar w:fldCharType="separate"/>
      </w:r>
      <w:r>
        <w:rPr>
          <w:rStyle w:val="20"/>
          <w:rFonts w:eastAsia="TimesNewRomanPSMT"/>
          <w:kern w:val="0"/>
          <w:szCs w:val="24"/>
        </w:rPr>
        <w:t>https://doi.org/10.5114/wiitm.2021.104368</w:t>
      </w:r>
      <w:r>
        <w:rPr>
          <w:rStyle w:val="20"/>
          <w:rFonts w:eastAsia="TimesNewRomanPSMT"/>
          <w:kern w:val="0"/>
          <w:szCs w:val="24"/>
        </w:rPr>
        <w:fldChar w:fldCharType="end"/>
      </w:r>
      <w:r>
        <w:rPr>
          <w:rFonts w:eastAsia="TimesNewRomanPSMT"/>
          <w:kern w:val="0"/>
          <w:szCs w:val="24"/>
        </w:rPr>
        <w:t>.</w:t>
      </w:r>
    </w:p>
    <w:p w14:paraId="4F6F8D4C">
      <w:pPr>
        <w:autoSpaceDE w:val="0"/>
        <w:autoSpaceDN w:val="0"/>
        <w:adjustRightInd w:val="0"/>
        <w:spacing w:line="240" w:lineRule="auto"/>
        <w:jc w:val="left"/>
        <w:rPr>
          <w:rFonts w:eastAsia="TimesNewRomanPSMT"/>
          <w:color w:val="000000"/>
          <w:kern w:val="0"/>
          <w:szCs w:val="24"/>
        </w:rPr>
      </w:pPr>
      <w:r>
        <w:rPr>
          <w:rFonts w:eastAsia="TimesNewRomanPSMT"/>
          <w:kern w:val="0"/>
          <w:szCs w:val="24"/>
        </w:rPr>
        <w:t>[3] L</w:t>
      </w:r>
      <w:r>
        <w:rPr>
          <w:rFonts w:eastAsia="TimesNewRomanPSMT"/>
          <w:color w:val="000000"/>
          <w:kern w:val="0"/>
          <w:szCs w:val="24"/>
        </w:rPr>
        <w:t xml:space="preserve">i YB, Chen JH, Wang MD, Fu J, Zhou BC, Li DG, </w:t>
      </w:r>
      <w:r>
        <w:rPr>
          <w:rFonts w:eastAsia="TimesNewRomanPS-ItalicMT"/>
          <w:i/>
          <w:iCs/>
          <w:color w:val="000000"/>
          <w:kern w:val="0"/>
          <w:szCs w:val="24"/>
        </w:rPr>
        <w:t>et al</w:t>
      </w:r>
      <w:r>
        <w:rPr>
          <w:rFonts w:eastAsia="TimesNewRomanPSMT"/>
          <w:color w:val="000000"/>
          <w:kern w:val="0"/>
          <w:szCs w:val="24"/>
        </w:rPr>
        <w:t xml:space="preserve">. Transanal Opening of Intersphincteric Space for Fistula-in-Ano. The American Surgeon. 2022; 88: 1131–1136. </w:t>
      </w:r>
      <w:r>
        <w:fldChar w:fldCharType="begin"/>
      </w:r>
      <w:r>
        <w:instrText xml:space="preserve"> HYPERLINK "https://doi.org/10.1177/0003134821989048" </w:instrText>
      </w:r>
      <w:r>
        <w:fldChar w:fldCharType="separate"/>
      </w:r>
      <w:r>
        <w:rPr>
          <w:rStyle w:val="20"/>
          <w:rFonts w:eastAsia="TimesNewRomanPSMT"/>
          <w:kern w:val="0"/>
          <w:szCs w:val="24"/>
        </w:rPr>
        <w:t>https://doi.org/10.1177/0003134821989048</w:t>
      </w:r>
      <w:r>
        <w:rPr>
          <w:rStyle w:val="20"/>
          <w:rFonts w:eastAsia="TimesNewRomanPSMT"/>
          <w:kern w:val="0"/>
          <w:szCs w:val="24"/>
        </w:rPr>
        <w:fldChar w:fldCharType="end"/>
      </w:r>
      <w:r>
        <w:rPr>
          <w:rFonts w:eastAsia="TimesNewRomanPSMT"/>
          <w:color w:val="000000"/>
          <w:kern w:val="0"/>
          <w:szCs w:val="24"/>
        </w:rPr>
        <w:t>.</w:t>
      </w:r>
    </w:p>
    <w:p w14:paraId="058C8B5B">
      <w:pPr>
        <w:autoSpaceDE w:val="0"/>
        <w:autoSpaceDN w:val="0"/>
        <w:adjustRightInd w:val="0"/>
        <w:spacing w:line="240" w:lineRule="auto"/>
        <w:jc w:val="left"/>
        <w:rPr>
          <w:rFonts w:eastAsia="TimesNewRomanPSMT"/>
          <w:color w:val="000000"/>
          <w:kern w:val="0"/>
          <w:szCs w:val="24"/>
        </w:rPr>
      </w:pPr>
      <w:r>
        <w:rPr>
          <w:rFonts w:eastAsia="TimesNewRomanPSMT"/>
          <w:color w:val="000000"/>
          <w:kern w:val="0"/>
          <w:szCs w:val="24"/>
        </w:rPr>
        <w:t xml:space="preserve">[4] Garg P, Kaur B, Goyal A, Yagnik VD, Dawka S, Menon GR. Lessons learned from an audit of 1250 anal fistula patients operated at a single center: A retrospective review. World Journal of Gastrointestinal Surgery. 2021; 13: 340–354. </w:t>
      </w:r>
      <w:r>
        <w:fldChar w:fldCharType="begin"/>
      </w:r>
      <w:r>
        <w:instrText xml:space="preserve"> HYPERLINK "https://doi.org/10.4240/wjgs.v13.i4.340" </w:instrText>
      </w:r>
      <w:r>
        <w:fldChar w:fldCharType="separate"/>
      </w:r>
      <w:r>
        <w:rPr>
          <w:rStyle w:val="20"/>
          <w:rFonts w:eastAsia="TimesNewRomanPSMT"/>
          <w:kern w:val="0"/>
          <w:szCs w:val="24"/>
        </w:rPr>
        <w:t>https://doi.org/10.4240/wjgs.v13.i4.340</w:t>
      </w:r>
      <w:r>
        <w:rPr>
          <w:rStyle w:val="20"/>
          <w:rFonts w:eastAsia="TimesNewRomanPSMT"/>
          <w:kern w:val="0"/>
          <w:szCs w:val="24"/>
        </w:rPr>
        <w:fldChar w:fldCharType="end"/>
      </w:r>
      <w:r>
        <w:rPr>
          <w:rFonts w:eastAsia="TimesNewRomanPSMT"/>
          <w:color w:val="000000"/>
          <w:kern w:val="0"/>
          <w:szCs w:val="24"/>
        </w:rPr>
        <w:t>.</w:t>
      </w:r>
    </w:p>
    <w:p w14:paraId="7BCAE75D">
      <w:pPr>
        <w:autoSpaceDE w:val="0"/>
        <w:autoSpaceDN w:val="0"/>
        <w:adjustRightInd w:val="0"/>
        <w:spacing w:line="240" w:lineRule="auto"/>
        <w:jc w:val="left"/>
        <w:rPr>
          <w:rFonts w:eastAsia="TimesNewRomanPSMT"/>
          <w:color w:val="000000"/>
          <w:kern w:val="0"/>
          <w:szCs w:val="24"/>
        </w:rPr>
      </w:pPr>
      <w:r>
        <w:rPr>
          <w:rFonts w:eastAsia="TimesNewRomanPSMT"/>
          <w:color w:val="000000"/>
          <w:kern w:val="0"/>
          <w:szCs w:val="24"/>
        </w:rPr>
        <w:t>[</w:t>
      </w:r>
      <w:r>
        <w:rPr>
          <w:rFonts w:hint="eastAsia" w:eastAsia="TimesNewRomanPSMT"/>
          <w:color w:val="000000"/>
          <w:kern w:val="0"/>
          <w:szCs w:val="24"/>
        </w:rPr>
        <w:t>5</w:t>
      </w:r>
      <w:r>
        <w:rPr>
          <w:rFonts w:eastAsia="TimesNewRomanPSMT"/>
          <w:color w:val="000000"/>
          <w:kern w:val="0"/>
          <w:szCs w:val="24"/>
        </w:rPr>
        <w:t xml:space="preserve">] Mishra S, Thakur DS, Somashekar U, Verma A, Sharma D. The management of complex fistula in ano by transanal opening of the intersphincteric space (TROPIS): short-term results. Annals of Coloproctology. 2024; 40: 474–480. </w:t>
      </w:r>
      <w:r>
        <w:fldChar w:fldCharType="begin"/>
      </w:r>
      <w:r>
        <w:instrText xml:space="preserve"> HYPERLINK "https://doi.org/10.3393/ac.2022.01018.0145" </w:instrText>
      </w:r>
      <w:r>
        <w:fldChar w:fldCharType="separate"/>
      </w:r>
      <w:r>
        <w:rPr>
          <w:rStyle w:val="20"/>
          <w:rFonts w:eastAsia="TimesNewRomanPSMT"/>
          <w:kern w:val="0"/>
          <w:szCs w:val="24"/>
        </w:rPr>
        <w:t>https://doi.org/10.3393/ac.2022.01018.0145</w:t>
      </w:r>
      <w:r>
        <w:rPr>
          <w:rStyle w:val="20"/>
          <w:rFonts w:eastAsia="TimesNewRomanPSMT"/>
          <w:kern w:val="0"/>
          <w:szCs w:val="24"/>
        </w:rPr>
        <w:fldChar w:fldCharType="end"/>
      </w:r>
      <w:r>
        <w:rPr>
          <w:rFonts w:eastAsia="TimesNewRomanPSMT"/>
          <w:color w:val="000000"/>
          <w:kern w:val="0"/>
          <w:szCs w:val="24"/>
        </w:rPr>
        <w:t>.</w:t>
      </w:r>
    </w:p>
    <w:p w14:paraId="4B69CC6B">
      <w:pPr>
        <w:spacing w:line="240" w:lineRule="auto"/>
        <w:rPr>
          <w:szCs w:val="24"/>
        </w:rPr>
      </w:pPr>
      <w:r>
        <w:rPr>
          <w:rFonts w:eastAsia="TimesNewRomanPSMT"/>
          <w:color w:val="000000"/>
          <w:kern w:val="0"/>
          <w:szCs w:val="24"/>
        </w:rPr>
        <w:t xml:space="preserve"> </w:t>
      </w:r>
      <w:r>
        <w:rPr>
          <w:szCs w:val="24"/>
        </w:rPr>
        <w:t>[</w:t>
      </w:r>
      <w:r>
        <w:rPr>
          <w:rFonts w:hint="eastAsia"/>
          <w:szCs w:val="24"/>
        </w:rPr>
        <w:t>6</w:t>
      </w:r>
      <w:r>
        <w:rPr>
          <w:szCs w:val="24"/>
        </w:rPr>
        <w:t xml:space="preserve">] Garg P. Transanal opening of intersphincteric space (TROPIS) – A new procedure to treat high complex anal fistula. International Journal of Surgery. 2017; 40: 130–134. </w:t>
      </w:r>
      <w:r>
        <w:fldChar w:fldCharType="begin"/>
      </w:r>
      <w:r>
        <w:instrText xml:space="preserve"> HYPERLINK "https://doi.org/10.1016/j.ijsu.2017.02.095" </w:instrText>
      </w:r>
      <w:r>
        <w:fldChar w:fldCharType="separate"/>
      </w:r>
      <w:r>
        <w:rPr>
          <w:rStyle w:val="20"/>
          <w:szCs w:val="24"/>
        </w:rPr>
        <w:t>https://doi.org/10.1016/j.ijsu.2017.02.095</w:t>
      </w:r>
      <w:r>
        <w:rPr>
          <w:rStyle w:val="20"/>
          <w:szCs w:val="24"/>
        </w:rPr>
        <w:fldChar w:fldCharType="end"/>
      </w:r>
      <w:r>
        <w:rPr>
          <w:rFonts w:hint="eastAsia"/>
          <w:szCs w:val="24"/>
        </w:rPr>
        <w:t>.</w:t>
      </w:r>
    </w:p>
    <w:p w14:paraId="34D3FF89">
      <w:pPr>
        <w:autoSpaceDE w:val="0"/>
        <w:autoSpaceDN w:val="0"/>
        <w:adjustRightInd w:val="0"/>
        <w:spacing w:line="240" w:lineRule="auto"/>
        <w:jc w:val="left"/>
        <w:rPr>
          <w:rFonts w:eastAsia="TimesNewRomanPSMT"/>
          <w:color w:val="000000"/>
          <w:kern w:val="0"/>
          <w:szCs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imesNewRomanPSMT">
    <w:altName w:val="等线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imesNewRomanPS-ItalicMT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70196"/>
    <w:rsid w:val="00011043"/>
    <w:rsid w:val="000358EB"/>
    <w:rsid w:val="00036F7C"/>
    <w:rsid w:val="0006109B"/>
    <w:rsid w:val="00065CDA"/>
    <w:rsid w:val="00070196"/>
    <w:rsid w:val="00096185"/>
    <w:rsid w:val="000B2762"/>
    <w:rsid w:val="000E653F"/>
    <w:rsid w:val="000F7B86"/>
    <w:rsid w:val="0010693C"/>
    <w:rsid w:val="00110CAF"/>
    <w:rsid w:val="00120B70"/>
    <w:rsid w:val="00154590"/>
    <w:rsid w:val="001B1F81"/>
    <w:rsid w:val="001B4541"/>
    <w:rsid w:val="001C7A3F"/>
    <w:rsid w:val="002251F1"/>
    <w:rsid w:val="002436FD"/>
    <w:rsid w:val="002D156C"/>
    <w:rsid w:val="00305FCE"/>
    <w:rsid w:val="00330535"/>
    <w:rsid w:val="00366E5D"/>
    <w:rsid w:val="003B7DD8"/>
    <w:rsid w:val="003E6126"/>
    <w:rsid w:val="00400C1E"/>
    <w:rsid w:val="0042777C"/>
    <w:rsid w:val="00447E83"/>
    <w:rsid w:val="00462C73"/>
    <w:rsid w:val="00491293"/>
    <w:rsid w:val="004A58EA"/>
    <w:rsid w:val="004C4B6F"/>
    <w:rsid w:val="004D41E7"/>
    <w:rsid w:val="00545779"/>
    <w:rsid w:val="00551AD8"/>
    <w:rsid w:val="00571013"/>
    <w:rsid w:val="00643079"/>
    <w:rsid w:val="006A7857"/>
    <w:rsid w:val="006C03C5"/>
    <w:rsid w:val="006C4414"/>
    <w:rsid w:val="00703007"/>
    <w:rsid w:val="00721439"/>
    <w:rsid w:val="0075658C"/>
    <w:rsid w:val="00765294"/>
    <w:rsid w:val="007756FA"/>
    <w:rsid w:val="0078177A"/>
    <w:rsid w:val="00794C17"/>
    <w:rsid w:val="007A2AAC"/>
    <w:rsid w:val="007D796B"/>
    <w:rsid w:val="00815C81"/>
    <w:rsid w:val="00827049"/>
    <w:rsid w:val="008454D8"/>
    <w:rsid w:val="0089249E"/>
    <w:rsid w:val="00893719"/>
    <w:rsid w:val="008D31D3"/>
    <w:rsid w:val="009352E1"/>
    <w:rsid w:val="00935B3E"/>
    <w:rsid w:val="009411D4"/>
    <w:rsid w:val="00942C75"/>
    <w:rsid w:val="009576EF"/>
    <w:rsid w:val="00980621"/>
    <w:rsid w:val="00997431"/>
    <w:rsid w:val="009D5F30"/>
    <w:rsid w:val="009D79BD"/>
    <w:rsid w:val="00A23925"/>
    <w:rsid w:val="00A3712C"/>
    <w:rsid w:val="00A41D96"/>
    <w:rsid w:val="00A52269"/>
    <w:rsid w:val="00A56615"/>
    <w:rsid w:val="00A57710"/>
    <w:rsid w:val="00A73E61"/>
    <w:rsid w:val="00A867B1"/>
    <w:rsid w:val="00A95CDF"/>
    <w:rsid w:val="00AA0C62"/>
    <w:rsid w:val="00AA4D65"/>
    <w:rsid w:val="00AD2300"/>
    <w:rsid w:val="00AF2BFE"/>
    <w:rsid w:val="00B011CD"/>
    <w:rsid w:val="00B22416"/>
    <w:rsid w:val="00B24096"/>
    <w:rsid w:val="00B24E31"/>
    <w:rsid w:val="00B51E23"/>
    <w:rsid w:val="00B573D9"/>
    <w:rsid w:val="00B70B74"/>
    <w:rsid w:val="00BA339F"/>
    <w:rsid w:val="00C30955"/>
    <w:rsid w:val="00C41E45"/>
    <w:rsid w:val="00C44779"/>
    <w:rsid w:val="00C50FFE"/>
    <w:rsid w:val="00C9701D"/>
    <w:rsid w:val="00CE022E"/>
    <w:rsid w:val="00CF118E"/>
    <w:rsid w:val="00D35256"/>
    <w:rsid w:val="00D46474"/>
    <w:rsid w:val="00D70810"/>
    <w:rsid w:val="00DB1856"/>
    <w:rsid w:val="00DC48B2"/>
    <w:rsid w:val="00DD1DBF"/>
    <w:rsid w:val="00E401A9"/>
    <w:rsid w:val="00EC7FCB"/>
    <w:rsid w:val="00EF47D5"/>
    <w:rsid w:val="00F0601A"/>
    <w:rsid w:val="00F117CC"/>
    <w:rsid w:val="00F12F82"/>
    <w:rsid w:val="00F379BF"/>
    <w:rsid w:val="00F459E0"/>
    <w:rsid w:val="00F64B67"/>
    <w:rsid w:val="2FC86F36"/>
    <w:rsid w:val="358403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等线" w:cs="Times New Roman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8"/>
      <w:szCs w:val="48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4">
    <w:name w:val="heading 3"/>
    <w:basedOn w:val="1"/>
    <w:next w:val="1"/>
    <w:link w:val="26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5">
    <w:name w:val="heading 4"/>
    <w:basedOn w:val="1"/>
    <w:next w:val="1"/>
    <w:link w:val="27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6">
    <w:name w:val="heading 5"/>
    <w:basedOn w:val="1"/>
    <w:next w:val="1"/>
    <w:link w:val="28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0F4761" w:themeColor="accent1" w:themeShade="BF"/>
    </w:rPr>
  </w:style>
  <w:style w:type="paragraph" w:styleId="7">
    <w:name w:val="heading 6"/>
    <w:basedOn w:val="1"/>
    <w:next w:val="1"/>
    <w:link w:val="29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8">
    <w:name w:val="heading 7"/>
    <w:basedOn w:val="1"/>
    <w:next w:val="1"/>
    <w:link w:val="30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85858" w:themeColor="text1" w:themeTint="A6"/>
    </w:rPr>
  </w:style>
  <w:style w:type="paragraph" w:styleId="9">
    <w:name w:val="heading 8"/>
    <w:basedOn w:val="1"/>
    <w:next w:val="1"/>
    <w:link w:val="31"/>
    <w:semiHidden/>
    <w:unhideWhenUsed/>
    <w:qFormat/>
    <w:uiPriority w:val="9"/>
    <w:pPr>
      <w:keepNext/>
      <w:keepLines/>
      <w:outlineLvl w:val="7"/>
    </w:pPr>
    <w:rPr>
      <w:rFonts w:cstheme="majorBidi"/>
      <w:color w:val="585858" w:themeColor="text1" w:themeTint="A6"/>
    </w:rPr>
  </w:style>
  <w:style w:type="paragraph" w:styleId="10">
    <w:name w:val="heading 9"/>
    <w:basedOn w:val="1"/>
    <w:next w:val="1"/>
    <w:link w:val="32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85858" w:themeColor="text1" w:themeTint="A6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link w:val="69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character" w:styleId="14">
    <w:name w:val="annotation reference"/>
    <w:basedOn w:val="11"/>
    <w:semiHidden/>
    <w:unhideWhenUsed/>
    <w:qFormat/>
    <w:uiPriority w:val="99"/>
    <w:rPr>
      <w:sz w:val="21"/>
      <w:szCs w:val="21"/>
    </w:rPr>
  </w:style>
  <w:style w:type="paragraph" w:styleId="15">
    <w:name w:val="annotation text"/>
    <w:basedOn w:val="1"/>
    <w:link w:val="67"/>
    <w:semiHidden/>
    <w:unhideWhenUsed/>
    <w:qFormat/>
    <w:uiPriority w:val="99"/>
    <w:pPr>
      <w:jc w:val="left"/>
    </w:pPr>
  </w:style>
  <w:style w:type="paragraph" w:styleId="16">
    <w:name w:val="annotation subject"/>
    <w:basedOn w:val="15"/>
    <w:next w:val="15"/>
    <w:link w:val="68"/>
    <w:semiHidden/>
    <w:unhideWhenUsed/>
    <w:qFormat/>
    <w:uiPriority w:val="99"/>
    <w:rPr>
      <w:b/>
      <w:bCs/>
    </w:rPr>
  </w:style>
  <w:style w:type="character" w:styleId="17">
    <w:name w:val="FollowedHyperlink"/>
    <w:semiHidden/>
    <w:unhideWhenUsed/>
    <w:qFormat/>
    <w:uiPriority w:val="99"/>
    <w:rPr>
      <w:color w:val="954F72"/>
      <w:u w:val="single"/>
    </w:rPr>
  </w:style>
  <w:style w:type="paragraph" w:styleId="18">
    <w:name w:val="foot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9">
    <w:name w:val="header"/>
    <w:basedOn w:val="1"/>
    <w:link w:val="42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20">
    <w:name w:val="Hyperlink"/>
    <w:unhideWhenUsed/>
    <w:qFormat/>
    <w:uiPriority w:val="99"/>
    <w:rPr>
      <w:color w:val="0563C1"/>
      <w:u w:val="single"/>
    </w:rPr>
  </w:style>
  <w:style w:type="paragraph" w:styleId="21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Cs w:val="24"/>
    </w:rPr>
  </w:style>
  <w:style w:type="paragraph" w:styleId="22">
    <w:name w:val="Subtitle"/>
    <w:basedOn w:val="1"/>
    <w:next w:val="1"/>
    <w:link w:val="34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85858" w:themeColor="text1" w:themeTint="A6"/>
      <w:spacing w:val="15"/>
      <w:sz w:val="28"/>
      <w:szCs w:val="28"/>
    </w:rPr>
  </w:style>
  <w:style w:type="paragraph" w:styleId="23">
    <w:name w:val="Title"/>
    <w:basedOn w:val="1"/>
    <w:next w:val="1"/>
    <w:link w:val="33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4">
    <w:name w:val="Heading 1 Char"/>
    <w:basedOn w:val="11"/>
    <w:link w:val="2"/>
    <w:qFormat/>
    <w:uiPriority w:val="9"/>
    <w:rPr>
      <w:rFonts w:asciiTheme="majorHAnsi" w:hAnsiTheme="majorHAnsi" w:eastAsiaTheme="majorEastAsia" w:cstheme="majorBidi"/>
      <w:color w:val="0F4761" w:themeColor="accent1" w:themeShade="BF"/>
      <w:sz w:val="48"/>
      <w:szCs w:val="48"/>
    </w:rPr>
  </w:style>
  <w:style w:type="character" w:customStyle="1" w:styleId="25">
    <w:name w:val="Heading 2 Char"/>
    <w:basedOn w:val="11"/>
    <w:link w:val="3"/>
    <w:qFormat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customStyle="1" w:styleId="26">
    <w:name w:val="Heading 3 Char"/>
    <w:basedOn w:val="11"/>
    <w:link w:val="4"/>
    <w:semiHidden/>
    <w:qFormat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customStyle="1" w:styleId="27">
    <w:name w:val="Heading 4 Char"/>
    <w:basedOn w:val="11"/>
    <w:link w:val="5"/>
    <w:semiHidden/>
    <w:qFormat/>
    <w:uiPriority w:val="9"/>
    <w:rPr>
      <w:rFonts w:cstheme="majorBidi"/>
      <w:color w:val="0F4761" w:themeColor="accent1" w:themeShade="BF"/>
      <w:sz w:val="28"/>
      <w:szCs w:val="28"/>
    </w:rPr>
  </w:style>
  <w:style w:type="character" w:customStyle="1" w:styleId="28">
    <w:name w:val="Heading 5 Char"/>
    <w:basedOn w:val="11"/>
    <w:link w:val="6"/>
    <w:semiHidden/>
    <w:qFormat/>
    <w:uiPriority w:val="9"/>
    <w:rPr>
      <w:rFonts w:cstheme="majorBidi"/>
      <w:color w:val="0F4761" w:themeColor="accent1" w:themeShade="BF"/>
      <w:sz w:val="24"/>
    </w:rPr>
  </w:style>
  <w:style w:type="character" w:customStyle="1" w:styleId="29">
    <w:name w:val="Heading 6 Char"/>
    <w:basedOn w:val="11"/>
    <w:link w:val="7"/>
    <w:semiHidden/>
    <w:qFormat/>
    <w:uiPriority w:val="9"/>
    <w:rPr>
      <w:rFonts w:cstheme="majorBidi"/>
      <w:b/>
      <w:bCs/>
      <w:color w:val="0F4761" w:themeColor="accent1" w:themeShade="BF"/>
    </w:rPr>
  </w:style>
  <w:style w:type="character" w:customStyle="1" w:styleId="30">
    <w:name w:val="Heading 7 Char"/>
    <w:basedOn w:val="11"/>
    <w:link w:val="8"/>
    <w:semiHidden/>
    <w:qFormat/>
    <w:uiPriority w:val="9"/>
    <w:rPr>
      <w:rFonts w:cstheme="majorBidi"/>
      <w:b/>
      <w:bCs/>
      <w:color w:val="585858" w:themeColor="text1" w:themeTint="A6"/>
    </w:rPr>
  </w:style>
  <w:style w:type="character" w:customStyle="1" w:styleId="31">
    <w:name w:val="Heading 8 Char"/>
    <w:basedOn w:val="11"/>
    <w:link w:val="9"/>
    <w:semiHidden/>
    <w:qFormat/>
    <w:uiPriority w:val="9"/>
    <w:rPr>
      <w:rFonts w:cstheme="majorBidi"/>
      <w:color w:val="585858" w:themeColor="text1" w:themeTint="A6"/>
    </w:rPr>
  </w:style>
  <w:style w:type="character" w:customStyle="1" w:styleId="32">
    <w:name w:val="Heading 9 Char"/>
    <w:basedOn w:val="11"/>
    <w:link w:val="10"/>
    <w:semiHidden/>
    <w:qFormat/>
    <w:uiPriority w:val="9"/>
    <w:rPr>
      <w:rFonts w:eastAsiaTheme="majorEastAsia" w:cstheme="majorBidi"/>
      <w:color w:val="585858" w:themeColor="text1" w:themeTint="A6"/>
    </w:rPr>
  </w:style>
  <w:style w:type="character" w:customStyle="1" w:styleId="33">
    <w:name w:val="Title Char"/>
    <w:basedOn w:val="11"/>
    <w:link w:val="23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4">
    <w:name w:val="Subtitle Char"/>
    <w:basedOn w:val="11"/>
    <w:link w:val="22"/>
    <w:qFormat/>
    <w:uiPriority w:val="11"/>
    <w:rPr>
      <w:rFonts w:asciiTheme="majorHAnsi" w:hAnsiTheme="majorHAnsi" w:eastAsiaTheme="majorEastAsia" w:cstheme="majorBidi"/>
      <w:color w:val="585858" w:themeColor="text1" w:themeTint="A6"/>
      <w:spacing w:val="15"/>
      <w:sz w:val="28"/>
      <w:szCs w:val="28"/>
    </w:rPr>
  </w:style>
  <w:style w:type="paragraph" w:styleId="35">
    <w:name w:val="Quote"/>
    <w:basedOn w:val="1"/>
    <w:next w:val="1"/>
    <w:link w:val="36"/>
    <w:qFormat/>
    <w:uiPriority w:val="29"/>
    <w:pPr>
      <w:spacing w:before="160" w:after="160"/>
      <w:jc w:val="center"/>
    </w:pPr>
    <w:rPr>
      <w:i/>
      <w:iCs/>
      <w:color w:val="3F3F3F" w:themeColor="text1" w:themeTint="BF"/>
    </w:rPr>
  </w:style>
  <w:style w:type="character" w:customStyle="1" w:styleId="36">
    <w:name w:val="Quote Char"/>
    <w:basedOn w:val="11"/>
    <w:link w:val="35"/>
    <w:qFormat/>
    <w:uiPriority w:val="29"/>
    <w:rPr>
      <w:i/>
      <w:iCs/>
      <w:color w:val="3F3F3F" w:themeColor="text1" w:themeTint="BF"/>
    </w:rPr>
  </w:style>
  <w:style w:type="paragraph" w:styleId="37">
    <w:name w:val="List Paragraph"/>
    <w:basedOn w:val="1"/>
    <w:qFormat/>
    <w:uiPriority w:val="34"/>
    <w:pPr>
      <w:ind w:left="720"/>
      <w:contextualSpacing/>
    </w:pPr>
  </w:style>
  <w:style w:type="character" w:customStyle="1" w:styleId="38">
    <w:name w:val="Intense Emphasis"/>
    <w:basedOn w:val="11"/>
    <w:qFormat/>
    <w:uiPriority w:val="21"/>
    <w:rPr>
      <w:i/>
      <w:iCs/>
      <w:color w:val="0F4761" w:themeColor="accent1" w:themeShade="BF"/>
    </w:rPr>
  </w:style>
  <w:style w:type="paragraph" w:styleId="39">
    <w:name w:val="Intense Quote"/>
    <w:basedOn w:val="1"/>
    <w:next w:val="1"/>
    <w:link w:val="40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40">
    <w:name w:val="Intense Quote Char"/>
    <w:basedOn w:val="11"/>
    <w:link w:val="39"/>
    <w:qFormat/>
    <w:uiPriority w:val="30"/>
    <w:rPr>
      <w:i/>
      <w:iCs/>
      <w:color w:val="0F4761" w:themeColor="accent1" w:themeShade="BF"/>
    </w:rPr>
  </w:style>
  <w:style w:type="character" w:customStyle="1" w:styleId="41">
    <w:name w:val="Intense Reference"/>
    <w:basedOn w:val="11"/>
    <w:qFormat/>
    <w:uiPriority w:val="32"/>
    <w:rPr>
      <w:b/>
      <w:bCs/>
      <w:smallCaps/>
      <w:color w:val="0F4761" w:themeColor="accent1" w:themeShade="BF"/>
      <w:spacing w:val="5"/>
    </w:rPr>
  </w:style>
  <w:style w:type="character" w:customStyle="1" w:styleId="42">
    <w:name w:val="Header Char"/>
    <w:basedOn w:val="11"/>
    <w:link w:val="19"/>
    <w:qFormat/>
    <w:uiPriority w:val="99"/>
    <w:rPr>
      <w:rFonts w:ascii="Times New Roman" w:hAnsi="Times New Roman" w:eastAsia="等线" w:cs="Times New Roman"/>
      <w:sz w:val="18"/>
      <w:szCs w:val="18"/>
    </w:rPr>
  </w:style>
  <w:style w:type="character" w:customStyle="1" w:styleId="43">
    <w:name w:val="Footer Char"/>
    <w:basedOn w:val="11"/>
    <w:link w:val="18"/>
    <w:qFormat/>
    <w:uiPriority w:val="99"/>
    <w:rPr>
      <w:rFonts w:ascii="Times New Roman" w:hAnsi="Times New Roman" w:eastAsia="等线" w:cs="Times New Roman"/>
      <w:sz w:val="18"/>
      <w:szCs w:val="18"/>
    </w:rPr>
  </w:style>
  <w:style w:type="paragraph" w:customStyle="1" w:styleId="44">
    <w:name w:val="msonormal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Cs w:val="24"/>
    </w:rPr>
  </w:style>
  <w:style w:type="paragraph" w:customStyle="1" w:styleId="45">
    <w:name w:val="font5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46">
    <w:name w:val="font6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 w:val="18"/>
      <w:szCs w:val="18"/>
    </w:rPr>
  </w:style>
  <w:style w:type="paragraph" w:customStyle="1" w:styleId="47">
    <w:name w:val="xl63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eastAsia="宋体"/>
      <w:kern w:val="0"/>
      <w:szCs w:val="24"/>
    </w:rPr>
  </w:style>
  <w:style w:type="paragraph" w:customStyle="1" w:styleId="48">
    <w:name w:val="xl64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eastAsia="宋体"/>
      <w:kern w:val="0"/>
      <w:szCs w:val="24"/>
    </w:rPr>
  </w:style>
  <w:style w:type="paragraph" w:customStyle="1" w:styleId="49">
    <w:name w:val="xl65"/>
    <w:basedOn w:val="1"/>
    <w:qFormat/>
    <w:uiPriority w:val="0"/>
    <w:pPr>
      <w:widowControl/>
      <w:spacing w:before="100" w:beforeAutospacing="1" w:after="100" w:afterAutospacing="1" w:line="240" w:lineRule="auto"/>
      <w:jc w:val="left"/>
      <w:textAlignment w:val="top"/>
    </w:pPr>
    <w:rPr>
      <w:rFonts w:eastAsia="宋体"/>
      <w:kern w:val="0"/>
      <w:szCs w:val="24"/>
    </w:rPr>
  </w:style>
  <w:style w:type="paragraph" w:customStyle="1" w:styleId="50">
    <w:name w:val="xl66"/>
    <w:basedOn w:val="1"/>
    <w:qFormat/>
    <w:uiPriority w:val="0"/>
    <w:pPr>
      <w:widowControl/>
      <w:spacing w:before="100" w:beforeAutospacing="1" w:after="100" w:afterAutospacing="1" w:line="240" w:lineRule="auto"/>
      <w:jc w:val="left"/>
      <w:textAlignment w:val="top"/>
    </w:pPr>
    <w:rPr>
      <w:rFonts w:eastAsia="宋体"/>
      <w:kern w:val="0"/>
      <w:szCs w:val="24"/>
    </w:rPr>
  </w:style>
  <w:style w:type="paragraph" w:customStyle="1" w:styleId="51">
    <w:name w:val="xl67"/>
    <w:basedOn w:val="1"/>
    <w:qFormat/>
    <w:uiPriority w:val="0"/>
    <w:pPr>
      <w:widowControl/>
      <w:spacing w:before="100" w:beforeAutospacing="1" w:after="100" w:afterAutospacing="1" w:line="240" w:lineRule="auto"/>
      <w:jc w:val="left"/>
      <w:textAlignment w:val="center"/>
    </w:pPr>
    <w:rPr>
      <w:rFonts w:eastAsia="宋体"/>
      <w:kern w:val="0"/>
      <w:szCs w:val="24"/>
    </w:rPr>
  </w:style>
  <w:style w:type="paragraph" w:customStyle="1" w:styleId="52">
    <w:name w:val="xl68"/>
    <w:basedOn w:val="1"/>
    <w:qFormat/>
    <w:uiPriority w:val="0"/>
    <w:pPr>
      <w:widowControl/>
      <w:spacing w:before="100" w:beforeAutospacing="1" w:after="100" w:afterAutospacing="1" w:line="240" w:lineRule="auto"/>
      <w:jc w:val="right"/>
    </w:pPr>
    <w:rPr>
      <w:rFonts w:eastAsia="宋体"/>
      <w:kern w:val="0"/>
      <w:szCs w:val="24"/>
    </w:rPr>
  </w:style>
  <w:style w:type="paragraph" w:customStyle="1" w:styleId="53">
    <w:name w:val="xl69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 w:line="240" w:lineRule="auto"/>
      <w:jc w:val="left"/>
    </w:pPr>
    <w:rPr>
      <w:rFonts w:eastAsia="宋体"/>
      <w:kern w:val="0"/>
      <w:szCs w:val="24"/>
    </w:rPr>
  </w:style>
  <w:style w:type="paragraph" w:customStyle="1" w:styleId="54">
    <w:name w:val="xl70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 w:line="240" w:lineRule="auto"/>
      <w:jc w:val="left"/>
      <w:textAlignment w:val="center"/>
    </w:pPr>
    <w:rPr>
      <w:rFonts w:eastAsia="宋体"/>
      <w:b/>
      <w:bCs/>
      <w:kern w:val="0"/>
      <w:szCs w:val="24"/>
    </w:rPr>
  </w:style>
  <w:style w:type="paragraph" w:customStyle="1" w:styleId="55">
    <w:name w:val="xl71"/>
    <w:basedOn w:val="1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 w:line="240" w:lineRule="auto"/>
      <w:jc w:val="left"/>
      <w:textAlignment w:val="center"/>
    </w:pPr>
    <w:rPr>
      <w:rFonts w:eastAsia="宋体"/>
      <w:b/>
      <w:bCs/>
      <w:kern w:val="0"/>
      <w:szCs w:val="24"/>
    </w:rPr>
  </w:style>
  <w:style w:type="paragraph" w:customStyle="1" w:styleId="56">
    <w:name w:val="xl72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eastAsia="宋体"/>
      <w:kern w:val="0"/>
      <w:szCs w:val="24"/>
    </w:rPr>
  </w:style>
  <w:style w:type="paragraph" w:customStyle="1" w:styleId="57">
    <w:name w:val="xl73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 w:line="240" w:lineRule="auto"/>
      <w:jc w:val="left"/>
      <w:textAlignment w:val="center"/>
    </w:pPr>
    <w:rPr>
      <w:rFonts w:eastAsia="宋体"/>
      <w:b/>
      <w:bCs/>
      <w:kern w:val="0"/>
      <w:szCs w:val="24"/>
    </w:rPr>
  </w:style>
  <w:style w:type="paragraph" w:customStyle="1" w:styleId="58">
    <w:name w:val="xl74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 w:line="240" w:lineRule="auto"/>
      <w:jc w:val="left"/>
      <w:textAlignment w:val="center"/>
    </w:pPr>
    <w:rPr>
      <w:rFonts w:eastAsia="宋体"/>
      <w:b/>
      <w:bCs/>
      <w:kern w:val="0"/>
      <w:szCs w:val="24"/>
    </w:rPr>
  </w:style>
  <w:style w:type="paragraph" w:customStyle="1" w:styleId="59">
    <w:name w:val="xl75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 w:line="240" w:lineRule="auto"/>
      <w:jc w:val="left"/>
      <w:textAlignment w:val="center"/>
    </w:pPr>
    <w:rPr>
      <w:rFonts w:eastAsia="宋体"/>
      <w:b/>
      <w:bCs/>
      <w:kern w:val="0"/>
      <w:szCs w:val="24"/>
    </w:rPr>
  </w:style>
  <w:style w:type="character" w:customStyle="1" w:styleId="60">
    <w:name w:val="Unresolved Mention1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61">
    <w:name w:val="font7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eastAsia="宋体"/>
      <w:color w:val="000000"/>
      <w:kern w:val="0"/>
      <w:szCs w:val="24"/>
    </w:rPr>
  </w:style>
  <w:style w:type="paragraph" w:customStyle="1" w:styleId="62">
    <w:name w:val="font8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等线" w:hAnsi="等线" w:cs="宋体"/>
      <w:kern w:val="0"/>
      <w:sz w:val="18"/>
      <w:szCs w:val="18"/>
    </w:rPr>
  </w:style>
  <w:style w:type="paragraph" w:customStyle="1" w:styleId="63">
    <w:name w:val="xl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left"/>
    </w:pPr>
    <w:rPr>
      <w:rFonts w:eastAsia="宋体"/>
      <w:kern w:val="0"/>
      <w:szCs w:val="24"/>
    </w:rPr>
  </w:style>
  <w:style w:type="paragraph" w:customStyle="1" w:styleId="64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right"/>
    </w:pPr>
    <w:rPr>
      <w:rFonts w:eastAsia="宋体"/>
      <w:kern w:val="0"/>
      <w:szCs w:val="24"/>
    </w:rPr>
  </w:style>
  <w:style w:type="paragraph" w:customStyle="1" w:styleId="65">
    <w:name w:val="Revision"/>
    <w:hidden/>
    <w:semiHidden/>
    <w:qFormat/>
    <w:uiPriority w:val="99"/>
    <w:rPr>
      <w:rFonts w:ascii="Times New Roman" w:hAnsi="Times New Roman" w:eastAsia="等线" w:cs="Times New Roman"/>
      <w:kern w:val="2"/>
      <w:sz w:val="24"/>
      <w:szCs w:val="22"/>
      <w:lang w:val="en-US" w:eastAsia="zh-CN" w:bidi="ar-SA"/>
    </w:rPr>
  </w:style>
  <w:style w:type="character" w:customStyle="1" w:styleId="66">
    <w:name w:val="Unresolved Mention2"/>
    <w:basedOn w:val="11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67">
    <w:name w:val="Comment Text Char"/>
    <w:basedOn w:val="11"/>
    <w:link w:val="15"/>
    <w:semiHidden/>
    <w:qFormat/>
    <w:uiPriority w:val="99"/>
    <w:rPr>
      <w:rFonts w:ascii="Times New Roman" w:hAnsi="Times New Roman" w:eastAsia="等线" w:cs="Times New Roman"/>
      <w:sz w:val="24"/>
      <w:szCs w:val="22"/>
    </w:rPr>
  </w:style>
  <w:style w:type="character" w:customStyle="1" w:styleId="68">
    <w:name w:val="Comment Subject Char"/>
    <w:basedOn w:val="67"/>
    <w:link w:val="16"/>
    <w:semiHidden/>
    <w:qFormat/>
    <w:uiPriority w:val="99"/>
    <w:rPr>
      <w:rFonts w:ascii="Times New Roman" w:hAnsi="Times New Roman" w:eastAsia="等线" w:cs="Times New Roman"/>
      <w:b/>
      <w:bCs/>
      <w:sz w:val="24"/>
      <w:szCs w:val="22"/>
    </w:rPr>
  </w:style>
  <w:style w:type="character" w:customStyle="1" w:styleId="69">
    <w:name w:val="Balloon Text Char"/>
    <w:basedOn w:val="11"/>
    <w:link w:val="13"/>
    <w:semiHidden/>
    <w:qFormat/>
    <w:uiPriority w:val="99"/>
    <w:rPr>
      <w:rFonts w:ascii="Times New Roman" w:hAnsi="Times New Roman" w:eastAsia="等线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AC6E-C2BB-4E46-AA0B-4DD42A7AE6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2308</Words>
  <Characters>13156</Characters>
  <Lines>109</Lines>
  <Paragraphs>30</Paragraphs>
  <TotalTime>9</TotalTime>
  <ScaleCrop>false</ScaleCrop>
  <LinksUpToDate>false</LinksUpToDate>
  <CharactersWithSpaces>15434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2025-11-20T07:12:00Z</dcterms:created>
  <dc:creator>宜飞 冯</dc:creator>
  <cp:lastModifiedBy>zhangmengyao</cp:lastModifiedBy>
  <dcterms:modified xsi:type="dcterms:W3CDTF">2025-12-29T05:56:17Z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6ba546c8-f729-45c7-a832-27201049abcd</vt:lpwstr>
  </property>
  <property fmtid="{D5CDD505-2E9C-101B-9397-08002B2CF9AE}" pid="3" name="KSOProductBuildVer">
    <vt:lpwstr>1033-12.2.0.23196</vt:lpwstr>
  </property>
  <property fmtid="{D5CDD505-2E9C-101B-9397-08002B2CF9AE}" pid="4" name="ICV">
    <vt:lpwstr>F3271DEDF2FF495E83519A67962DC676_12</vt:lpwstr>
  </property>
</Properties>
</file>